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Cs w:val="21"/>
          <w:lang w:val="zh-CN"/>
        </w:rPr>
      </w:pPr>
      <w:r>
        <w:rPr>
          <w:rFonts w:hint="eastAsia" w:ascii="宋体" w:hAnsi="宋体"/>
          <w:b/>
          <w:sz w:val="44"/>
          <w:szCs w:val="44"/>
          <w:lang w:val="zh-CN"/>
        </w:rPr>
        <w:t>《</w:t>
      </w:r>
      <w:r>
        <w:rPr>
          <w:rFonts w:hint="eastAsia" w:ascii="宋体" w:hAnsi="宋体"/>
          <w:b/>
          <w:sz w:val="44"/>
          <w:szCs w:val="44"/>
        </w:rPr>
        <w:t>郑东新区东周水厂地块控制性详细规划修改论证报告</w:t>
      </w:r>
      <w:r>
        <w:rPr>
          <w:rFonts w:hint="eastAsia" w:ascii="宋体" w:hAnsi="宋体"/>
          <w:b/>
          <w:sz w:val="44"/>
          <w:szCs w:val="44"/>
          <w:lang w:val="zh-CN"/>
        </w:rPr>
        <w:t>》批前公示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0" w:firstLineChars="200"/>
        <w:textAlignment w:val="auto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为保障公众参与城市规划的权利，更好的维护公众利益，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根据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《中华人民共和国城乡规划法》、《郑州市城乡规划管理条例》、《郑州市城乡规划公开公示暂行办法》等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要求，于20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日对“</w:t>
      </w:r>
      <w:r>
        <w:rPr>
          <w:rFonts w:hint="eastAsia" w:ascii="仿宋_GB2312" w:eastAsia="仿宋_GB2312"/>
          <w:sz w:val="32"/>
          <w:szCs w:val="32"/>
        </w:rPr>
        <w:t>郑东新区东周水厂地块控制性详细规划修改论证报告</w:t>
      </w:r>
      <w:r>
        <w:rPr>
          <w:rFonts w:ascii="仿宋_GB2312" w:hAnsi="仿宋_GB2312" w:eastAsia="仿宋_GB2312" w:cs="仿宋_GB2312"/>
          <w:kern w:val="36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予以公示。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3" w:firstLineChars="200"/>
        <w:textAlignment w:val="auto"/>
        <w:rPr>
          <w:rFonts w:hint="eastAsia"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郑东新区东周水厂地块控制性详细规划修改论证报告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3" w:firstLineChars="200"/>
        <w:textAlignment w:val="auto"/>
        <w:rPr>
          <w:rFonts w:hint="eastAsia"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公示公告类别：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控制性详细规划修改论证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报告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批前公示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3" w:firstLineChars="200"/>
        <w:textAlignment w:val="auto"/>
        <w:rPr>
          <w:rFonts w:hint="eastAsia"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用地位置：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位于商鼎路、黄河南路、宏图街和聚源路所围合街坊的部分区域,用地面积约为7.95公顷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3" w:firstLineChars="200"/>
        <w:textAlignment w:val="auto"/>
        <w:rPr>
          <w:rFonts w:hint="eastAsia"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修改内容：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拟修改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地块具体调整内容为以下三项：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建筑密度由“不大于 20%”调整为“不大于 50%”；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绿地率由“不小于 40%”调整为“不小于 25%”；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kern w:val="3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建筑高度由“不高于 24 米”调整为“不高于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30 米”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3" w:firstLineChars="200"/>
        <w:textAlignment w:val="auto"/>
        <w:rPr>
          <w:rFonts w:hint="eastAsia"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公示期限：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日至20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日（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3" w:firstLineChars="200"/>
        <w:textAlignment w:val="auto"/>
        <w:rPr>
          <w:rFonts w:hint="eastAsia"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组织编制单位: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郑州市城乡规划局郑东新区规划分局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3" w:firstLineChars="200"/>
        <w:textAlignment w:val="auto"/>
        <w:rPr>
          <w:rFonts w:hint="eastAsia"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规划编制单位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：中国城市建设研究院有限公司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3" w:firstLineChars="200"/>
        <w:textAlignment w:val="auto"/>
        <w:rPr>
          <w:rFonts w:hint="default" w:ascii="仿宋_GB2312" w:hAnsi="仿宋_GB2312" w:eastAsia="仿宋_GB2312" w:cs="仿宋_GB2312"/>
          <w:kern w:val="3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咨询电话：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刘玉凤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 xml:space="preserve"> 0371-67179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682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3" w:firstLineChars="200"/>
        <w:textAlignment w:val="auto"/>
        <w:rPr>
          <w:rFonts w:hint="eastAsia"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意见反馈电话：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0371-67179875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3" w:firstLineChars="200"/>
        <w:textAlignment w:val="auto"/>
        <w:rPr>
          <w:rFonts w:hint="default" w:ascii="仿宋_GB2312" w:hAnsi="仿宋_GB2312" w:eastAsia="仿宋_GB2312" w:cs="仿宋_GB2312"/>
          <w:kern w:val="3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  <w:lang w:val="en-US" w:eastAsia="zh-CN"/>
        </w:rPr>
        <w:t>附件：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控制性详细规划修改论证报告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firstLine="643" w:firstLineChars="200"/>
        <w:textAlignment w:val="auto"/>
        <w:rPr>
          <w:rFonts w:hint="eastAsia"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附加说明：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如有意见和建议，请于公示期内向我局反馈。</w:t>
      </w:r>
    </w:p>
    <w:sectPr>
      <w:footerReference r:id="rId3" w:type="default"/>
      <w:pgSz w:w="11906" w:h="16838"/>
      <w:pgMar w:top="1440" w:right="1701" w:bottom="1440" w:left="170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NotTrackMoves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64C"/>
    <w:rsid w:val="0006464C"/>
    <w:rsid w:val="0020479F"/>
    <w:rsid w:val="0033551D"/>
    <w:rsid w:val="003A1AF0"/>
    <w:rsid w:val="003E14A8"/>
    <w:rsid w:val="00426613"/>
    <w:rsid w:val="004A558E"/>
    <w:rsid w:val="004B62F4"/>
    <w:rsid w:val="00571AEA"/>
    <w:rsid w:val="0069043C"/>
    <w:rsid w:val="006C5DE4"/>
    <w:rsid w:val="007B4376"/>
    <w:rsid w:val="007E64B4"/>
    <w:rsid w:val="00816298"/>
    <w:rsid w:val="008B6522"/>
    <w:rsid w:val="008D7B5C"/>
    <w:rsid w:val="009517ED"/>
    <w:rsid w:val="009A1F74"/>
    <w:rsid w:val="00AA22F9"/>
    <w:rsid w:val="00AD0A71"/>
    <w:rsid w:val="00B8182C"/>
    <w:rsid w:val="00C31E17"/>
    <w:rsid w:val="00CD57B1"/>
    <w:rsid w:val="00CD7B0B"/>
    <w:rsid w:val="00D12805"/>
    <w:rsid w:val="00E30F59"/>
    <w:rsid w:val="00EB0F76"/>
    <w:rsid w:val="00F51858"/>
    <w:rsid w:val="00F82350"/>
    <w:rsid w:val="02984F53"/>
    <w:rsid w:val="07742636"/>
    <w:rsid w:val="078E3E3E"/>
    <w:rsid w:val="08C80A81"/>
    <w:rsid w:val="097630BB"/>
    <w:rsid w:val="0B453A5A"/>
    <w:rsid w:val="10896CAA"/>
    <w:rsid w:val="14305DEE"/>
    <w:rsid w:val="178B0BB1"/>
    <w:rsid w:val="19BB02B9"/>
    <w:rsid w:val="1A725860"/>
    <w:rsid w:val="1B1E6368"/>
    <w:rsid w:val="1C855327"/>
    <w:rsid w:val="1CAA3D2C"/>
    <w:rsid w:val="1CC35E8D"/>
    <w:rsid w:val="2479511E"/>
    <w:rsid w:val="28931F96"/>
    <w:rsid w:val="2C966AEB"/>
    <w:rsid w:val="2C9945D2"/>
    <w:rsid w:val="2CB97FB6"/>
    <w:rsid w:val="2D7B7870"/>
    <w:rsid w:val="2DA122B0"/>
    <w:rsid w:val="2DF166C8"/>
    <w:rsid w:val="2F583D74"/>
    <w:rsid w:val="33E26DEB"/>
    <w:rsid w:val="34B928A2"/>
    <w:rsid w:val="35AA605D"/>
    <w:rsid w:val="386B3656"/>
    <w:rsid w:val="39055245"/>
    <w:rsid w:val="3A4A15FF"/>
    <w:rsid w:val="3C0519CE"/>
    <w:rsid w:val="3CE4395F"/>
    <w:rsid w:val="3D5A5DBD"/>
    <w:rsid w:val="3DAF34B2"/>
    <w:rsid w:val="446A57EF"/>
    <w:rsid w:val="46222F2C"/>
    <w:rsid w:val="496232B0"/>
    <w:rsid w:val="49FD22D7"/>
    <w:rsid w:val="4A24450A"/>
    <w:rsid w:val="4FD05D13"/>
    <w:rsid w:val="500D2231"/>
    <w:rsid w:val="51146540"/>
    <w:rsid w:val="51AB4EEC"/>
    <w:rsid w:val="55807797"/>
    <w:rsid w:val="56CE29FF"/>
    <w:rsid w:val="592135C3"/>
    <w:rsid w:val="596854FD"/>
    <w:rsid w:val="5C106707"/>
    <w:rsid w:val="5E8732A7"/>
    <w:rsid w:val="635D7488"/>
    <w:rsid w:val="64431435"/>
    <w:rsid w:val="662C7048"/>
    <w:rsid w:val="68F1629B"/>
    <w:rsid w:val="6D03661B"/>
    <w:rsid w:val="72FD709C"/>
    <w:rsid w:val="74D227B1"/>
    <w:rsid w:val="75A14644"/>
    <w:rsid w:val="764B5FB6"/>
    <w:rsid w:val="77B049C7"/>
    <w:rsid w:val="786C4127"/>
    <w:rsid w:val="7B5E5ABA"/>
    <w:rsid w:val="7BF0328C"/>
    <w:rsid w:val="7D681DF6"/>
    <w:rsid w:val="7E8D79EA"/>
    <w:rsid w:val="7FAB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link w:val="6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页脚 字符"/>
    <w:link w:val="7"/>
    <w:qFormat/>
    <w:uiPriority w:val="99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</Pages>
  <Words>99</Words>
  <Characters>570</Characters>
  <Lines>4</Lines>
  <Paragraphs>1</Paragraphs>
  <TotalTime>14</TotalTime>
  <ScaleCrop>false</ScaleCrop>
  <LinksUpToDate>false</LinksUpToDate>
  <CharactersWithSpaces>668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2014-01-02T01:22:00Z</dcterms:created>
  <dc:creator>Skyfree</dc:creator>
  <cp:lastModifiedBy>Administrator</cp:lastModifiedBy>
  <cp:lastPrinted>2018-11-06T07:40:00Z</cp:lastPrinted>
  <dcterms:modified xsi:type="dcterms:W3CDTF">2020-09-04T01:16:57Z</dcterms:modified>
  <dc:title>《郑州市综合交通枢纽地区东南片区第B-04、B-05、C-02、C-03、C-04、C-06、C-07、C-11街坊控制性详细规划》批后公告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