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sz w:val="40"/>
          <w:szCs w:val="44"/>
          <w:lang w:val="en-US" w:eastAsia="zh-CN"/>
        </w:rPr>
      </w:pPr>
      <w:r>
        <w:rPr>
          <w:rFonts w:hint="eastAsia" w:ascii="宋体" w:hAnsi="宋体"/>
          <w:b/>
          <w:sz w:val="40"/>
          <w:szCs w:val="44"/>
          <w:lang w:val="zh-CN"/>
        </w:rPr>
        <w:t>《</w:t>
      </w:r>
      <w:r>
        <w:rPr>
          <w:rFonts w:hint="eastAsia" w:ascii="宋体" w:hAnsi="宋体"/>
          <w:b/>
          <w:sz w:val="40"/>
          <w:szCs w:val="44"/>
          <w:lang w:val="zh-CN" w:eastAsia="zh-CN"/>
        </w:rPr>
        <w:t>郑东新区东风南路西、金水东路南A-03街坊控制性详细规划</w:t>
      </w:r>
      <w:r>
        <w:rPr>
          <w:rFonts w:hint="eastAsia" w:ascii="宋体" w:hAnsi="宋体"/>
          <w:b/>
          <w:sz w:val="40"/>
          <w:szCs w:val="44"/>
          <w:lang w:val="zh-CN"/>
        </w:rPr>
        <w:t>》批前公示</w:t>
      </w:r>
    </w:p>
    <w:p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  <w:lang w:val="zh-CN"/>
        </w:rPr>
      </w:pP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为保障公众参与城市规划的权利，更好的维护公众利益，根据《中华人民共和国城乡规划法》、《郑州市城乡规划管理条例》、《郑州市城乡规划公开公示暂行办法》的要求，于20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日对《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zh-CN" w:eastAsia="zh-CN"/>
        </w:rPr>
        <w:t>郑东新区东风南路西、金水东路南A-03街坊控制性详细规划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进行批前公示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。</w:t>
      </w:r>
    </w:p>
    <w:p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kern w:val="36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项目名称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zh-CN" w:eastAsia="zh-CN"/>
        </w:rPr>
        <w:t>郑东新区东风南路西、金水东路南A-03街坊控制性详细规划</w:t>
      </w:r>
    </w:p>
    <w:p>
      <w:pPr>
        <w:autoSpaceDE w:val="0"/>
        <w:autoSpaceDN w:val="0"/>
        <w:adjustRightInd w:val="0"/>
        <w:snapToGrid w:val="0"/>
        <w:spacing w:line="360" w:lineRule="auto"/>
        <w:ind w:firstLine="643" w:firstLineChars="200"/>
        <w:jc w:val="left"/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公示公告类别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：控制性详细规划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批前公示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用地位置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：位于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金水东路、东风南路、众旺路、七里河北路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所围合街坊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地块</w:t>
      </w:r>
      <w:r>
        <w:rPr>
          <w:rFonts w:hint="eastAsia" w:ascii="仿宋_GB2312" w:hAnsi="宋体" w:eastAsia="仿宋_GB2312"/>
          <w:spacing w:val="-6"/>
          <w:sz w:val="32"/>
          <w:szCs w:val="32"/>
          <w:lang w:val="en-US" w:eastAsia="zh-CN"/>
        </w:rPr>
        <w:t>,规划用地总面积约为24.53公顷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19"/>
        <w:ind w:left="0" w:leftChars="0" w:rightChars="0" w:firstLine="643" w:firstLineChars="200"/>
        <w:rPr>
          <w:rFonts w:hint="eastAsia" w:ascii="仿宋_GB2312" w:hAnsi="宋体" w:eastAsia="仿宋_GB2312" w:cs="黑体"/>
          <w:spacing w:val="-6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项目简介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规划A-03-1地块为商业、商务用地兼容二类居住用地，地块面积约为68499.65平方米，地块容积率应小于5.5，建筑密度小于50%，绿地率应大于25%，建筑高度小于250米，建筑面积控制在376748.08平方米以内；规划A-03-2地块为商业、商务用地兼容二类居住用地，地块面积约为58628.82平方米，地块容积率应小于5.5，建筑密度小于50%，绿地率应大于25%，建筑高度小于250米，建筑面积控制在322458.51平方米以内；规划A-03-3地块为公园绿地，地块面积约为26112.23平方米，绿地率应大于70%；A-03-6地块为公园绿地，地块面积约为15357.46平方米，绿地率应大于70%。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公示期限：</w:t>
      </w:r>
      <w:r>
        <w:rPr>
          <w:rFonts w:hint="eastAsia" w:ascii="仿宋_GB2312" w:eastAsia="仿宋_GB2312"/>
          <w:sz w:val="32"/>
          <w:szCs w:val="32"/>
        </w:rPr>
        <w:t>30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天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643" w:firstLineChars="200"/>
        <w:rPr>
          <w:rFonts w:hint="eastAsia"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公示</w:t>
      </w: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  <w:lang w:val="en-US" w:eastAsia="zh-CN"/>
        </w:rPr>
        <w:t>日期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：20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日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组织编制单位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:郑州市城乡规划局郑东新区规划分局</w:t>
      </w:r>
    </w:p>
    <w:p>
      <w:pPr>
        <w:adjustRightInd w:val="0"/>
        <w:snapToGrid w:val="0"/>
        <w:spacing w:line="360" w:lineRule="auto"/>
        <w:ind w:firstLine="643" w:firstLineChars="200"/>
        <w:rPr>
          <w:rFonts w:hint="default" w:ascii="仿宋_GB2312" w:hAnsi="仿宋_GB2312" w:eastAsia="仿宋_GB2312" w:cs="仿宋_GB2312"/>
          <w:kern w:val="36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规划编制单位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  <w:lang w:val="en-US" w:eastAsia="zh-CN"/>
        </w:rPr>
        <w:t>上海复旦规划建筑设计研究院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咨询电话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：0371-67176990</w:t>
      </w:r>
    </w:p>
    <w:p>
      <w:pPr>
        <w:adjustRightInd w:val="0"/>
        <w:snapToGrid w:val="0"/>
        <w:spacing w:line="360" w:lineRule="auto"/>
        <w:ind w:right="160" w:firstLine="643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意见反馈电话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  <w:r>
        <w:rPr>
          <w:rFonts w:hint="eastAsia" w:ascii="仿宋_GB2312" w:hAnsi="仿宋" w:eastAsia="仿宋_GB2312"/>
          <w:sz w:val="32"/>
          <w:szCs w:val="32"/>
        </w:rPr>
        <w:t>0371-67179875</w:t>
      </w:r>
    </w:p>
    <w:p>
      <w:pPr>
        <w:adjustRightInd w:val="0"/>
        <w:snapToGrid w:val="0"/>
        <w:spacing w:line="360" w:lineRule="auto"/>
        <w:ind w:firstLine="643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36"/>
          <w:sz w:val="32"/>
          <w:szCs w:val="32"/>
        </w:rPr>
        <w:t>附图</w:t>
      </w:r>
      <w:r>
        <w:rPr>
          <w:rFonts w:hint="eastAsia" w:ascii="仿宋_GB2312" w:hAnsi="仿宋_GB2312" w:eastAsia="仿宋_GB2312" w:cs="仿宋_GB2312"/>
          <w:kern w:val="36"/>
          <w:sz w:val="32"/>
          <w:szCs w:val="32"/>
        </w:rPr>
        <w:t>：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_GB2312" w:eastAsia="仿宋_GB2312" w:cs="仿宋_GB2312"/>
          <w:kern w:val="36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区位图、用地现状图、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规划用地</w:t>
      </w:r>
      <w:r>
        <w:rPr>
          <w:rFonts w:hint="eastAsia" w:ascii="仿宋_GB2312" w:eastAsia="仿宋_GB2312"/>
          <w:sz w:val="32"/>
          <w:szCs w:val="32"/>
        </w:rPr>
        <w:t>图、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地上图则</w:t>
      </w:r>
      <w:r>
        <w:rPr>
          <w:rFonts w:hint="eastAsia" w:ascii="仿宋_GB2312" w:eastAsia="仿宋_GB2312"/>
          <w:sz w:val="32"/>
          <w:szCs w:val="32"/>
        </w:rPr>
        <w:t>、地下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空间</w:t>
      </w:r>
      <w:r>
        <w:rPr>
          <w:rFonts w:hint="eastAsia" w:ascii="仿宋_GB2312" w:eastAsia="仿宋_GB2312"/>
          <w:sz w:val="32"/>
          <w:szCs w:val="32"/>
        </w:rPr>
        <w:t>图则</w:t>
      </w:r>
    </w:p>
    <w:p>
      <w:pPr>
        <w:adjustRightInd w:val="0"/>
        <w:snapToGrid w:val="0"/>
        <w:spacing w:line="360" w:lineRule="auto"/>
        <w:ind w:right="160"/>
        <w:rPr>
          <w:rFonts w:ascii="仿宋_GB2312" w:eastAsia="仿宋_GB2312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sdt>
                <w:sdtPr>
                  <w:id w:val="1776131123"/>
                </w:sdtPr>
                <w:sdtContent>
                  <w:p>
                    <w:pPr>
                      <w:pStyle w:val="7"/>
                      <w:jc w:val="center"/>
                    </w:pP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1</w:t>
                    </w:r>
                    <w:r>
                      <w:fldChar w:fldCharType="end"/>
                    </w:r>
                  </w:p>
                </w:sdtContent>
              </w:sdt>
              <w:p/>
            </w:txbxContent>
          </v:textbox>
        </v:shape>
      </w:pic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evenAndOddHeaders w:val="1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64C"/>
    <w:rsid w:val="000232C5"/>
    <w:rsid w:val="0006464C"/>
    <w:rsid w:val="000709D5"/>
    <w:rsid w:val="00080E5A"/>
    <w:rsid w:val="001334D3"/>
    <w:rsid w:val="0013599C"/>
    <w:rsid w:val="00141892"/>
    <w:rsid w:val="00145D19"/>
    <w:rsid w:val="001727DB"/>
    <w:rsid w:val="001B310C"/>
    <w:rsid w:val="001B4E29"/>
    <w:rsid w:val="001F62A6"/>
    <w:rsid w:val="00200397"/>
    <w:rsid w:val="00202EC3"/>
    <w:rsid w:val="0020479F"/>
    <w:rsid w:val="00205A31"/>
    <w:rsid w:val="0022386F"/>
    <w:rsid w:val="002415EE"/>
    <w:rsid w:val="00293500"/>
    <w:rsid w:val="002D1F6E"/>
    <w:rsid w:val="002F58C5"/>
    <w:rsid w:val="00331300"/>
    <w:rsid w:val="0033551D"/>
    <w:rsid w:val="00376C51"/>
    <w:rsid w:val="003854FA"/>
    <w:rsid w:val="003A1AF0"/>
    <w:rsid w:val="003C0E94"/>
    <w:rsid w:val="003D2067"/>
    <w:rsid w:val="003D33E6"/>
    <w:rsid w:val="003D729C"/>
    <w:rsid w:val="003E14A8"/>
    <w:rsid w:val="003E318F"/>
    <w:rsid w:val="003E45EC"/>
    <w:rsid w:val="00412CB6"/>
    <w:rsid w:val="00421934"/>
    <w:rsid w:val="00426613"/>
    <w:rsid w:val="00445FDC"/>
    <w:rsid w:val="0046273B"/>
    <w:rsid w:val="0048458C"/>
    <w:rsid w:val="004942A1"/>
    <w:rsid w:val="004A558E"/>
    <w:rsid w:val="004B62F4"/>
    <w:rsid w:val="004C1DA7"/>
    <w:rsid w:val="004D25D8"/>
    <w:rsid w:val="004D5636"/>
    <w:rsid w:val="004E47B9"/>
    <w:rsid w:val="005516F7"/>
    <w:rsid w:val="00567CD5"/>
    <w:rsid w:val="00571AEA"/>
    <w:rsid w:val="005A3159"/>
    <w:rsid w:val="005F2C34"/>
    <w:rsid w:val="0062528B"/>
    <w:rsid w:val="00630030"/>
    <w:rsid w:val="00632455"/>
    <w:rsid w:val="0069043C"/>
    <w:rsid w:val="006A7ABA"/>
    <w:rsid w:val="006C5DE4"/>
    <w:rsid w:val="006C6C77"/>
    <w:rsid w:val="007100B1"/>
    <w:rsid w:val="0074599C"/>
    <w:rsid w:val="00771D98"/>
    <w:rsid w:val="00774B0B"/>
    <w:rsid w:val="00794543"/>
    <w:rsid w:val="007967B5"/>
    <w:rsid w:val="007B27C0"/>
    <w:rsid w:val="007B4376"/>
    <w:rsid w:val="007C2FB0"/>
    <w:rsid w:val="007C7EF2"/>
    <w:rsid w:val="007D523A"/>
    <w:rsid w:val="007E64B4"/>
    <w:rsid w:val="007F3429"/>
    <w:rsid w:val="00820AB3"/>
    <w:rsid w:val="008420F4"/>
    <w:rsid w:val="00851994"/>
    <w:rsid w:val="008B1B27"/>
    <w:rsid w:val="008B2EE6"/>
    <w:rsid w:val="008B6522"/>
    <w:rsid w:val="008B7592"/>
    <w:rsid w:val="008D7B5C"/>
    <w:rsid w:val="00914EF8"/>
    <w:rsid w:val="009517ED"/>
    <w:rsid w:val="00955864"/>
    <w:rsid w:val="00965D9F"/>
    <w:rsid w:val="00976DCD"/>
    <w:rsid w:val="00985CF8"/>
    <w:rsid w:val="009A1F74"/>
    <w:rsid w:val="009B3737"/>
    <w:rsid w:val="009F62E1"/>
    <w:rsid w:val="00A56962"/>
    <w:rsid w:val="00A60738"/>
    <w:rsid w:val="00AA22F9"/>
    <w:rsid w:val="00AC142C"/>
    <w:rsid w:val="00AD0A71"/>
    <w:rsid w:val="00B52F6B"/>
    <w:rsid w:val="00B62778"/>
    <w:rsid w:val="00B67E28"/>
    <w:rsid w:val="00B8182C"/>
    <w:rsid w:val="00B81A53"/>
    <w:rsid w:val="00BE04B8"/>
    <w:rsid w:val="00BE56C4"/>
    <w:rsid w:val="00BF1829"/>
    <w:rsid w:val="00C07070"/>
    <w:rsid w:val="00C31E17"/>
    <w:rsid w:val="00C764CC"/>
    <w:rsid w:val="00CA72EC"/>
    <w:rsid w:val="00CD57B1"/>
    <w:rsid w:val="00CD7B0B"/>
    <w:rsid w:val="00CE0FDF"/>
    <w:rsid w:val="00CE3172"/>
    <w:rsid w:val="00D12805"/>
    <w:rsid w:val="00D21AA1"/>
    <w:rsid w:val="00D26D7A"/>
    <w:rsid w:val="00D43911"/>
    <w:rsid w:val="00D4465F"/>
    <w:rsid w:val="00D511FB"/>
    <w:rsid w:val="00D90D22"/>
    <w:rsid w:val="00D96A2F"/>
    <w:rsid w:val="00E0068A"/>
    <w:rsid w:val="00E30F59"/>
    <w:rsid w:val="00E649CC"/>
    <w:rsid w:val="00EA59B2"/>
    <w:rsid w:val="00EB0F76"/>
    <w:rsid w:val="00EB5E6E"/>
    <w:rsid w:val="00ED0E33"/>
    <w:rsid w:val="00EE5E58"/>
    <w:rsid w:val="00F42309"/>
    <w:rsid w:val="00F51858"/>
    <w:rsid w:val="00F6161F"/>
    <w:rsid w:val="00F82350"/>
    <w:rsid w:val="00F942AA"/>
    <w:rsid w:val="00FF722D"/>
    <w:rsid w:val="06387FCD"/>
    <w:rsid w:val="07742636"/>
    <w:rsid w:val="078E3E3E"/>
    <w:rsid w:val="08C80A81"/>
    <w:rsid w:val="08CF61AA"/>
    <w:rsid w:val="097630BB"/>
    <w:rsid w:val="0B2B2D9E"/>
    <w:rsid w:val="0B453A5A"/>
    <w:rsid w:val="178B0BB1"/>
    <w:rsid w:val="28931F96"/>
    <w:rsid w:val="2AC16E5E"/>
    <w:rsid w:val="33E26DEB"/>
    <w:rsid w:val="34AC3B1D"/>
    <w:rsid w:val="386B3656"/>
    <w:rsid w:val="39055245"/>
    <w:rsid w:val="3A88715F"/>
    <w:rsid w:val="3C0519CE"/>
    <w:rsid w:val="3DAF34B2"/>
    <w:rsid w:val="46222F2C"/>
    <w:rsid w:val="466E7A17"/>
    <w:rsid w:val="515253EF"/>
    <w:rsid w:val="56CE29FF"/>
    <w:rsid w:val="592135C3"/>
    <w:rsid w:val="596854FD"/>
    <w:rsid w:val="5E8732A7"/>
    <w:rsid w:val="635D7488"/>
    <w:rsid w:val="646C6CE9"/>
    <w:rsid w:val="6A7339B5"/>
    <w:rsid w:val="6C7B5FAC"/>
    <w:rsid w:val="70E45B62"/>
    <w:rsid w:val="73C40D76"/>
    <w:rsid w:val="786C4127"/>
    <w:rsid w:val="7FAB36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35" w:semiHidden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iPriority="0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unhideWhenUsed/>
    <w:qFormat/>
    <w:uiPriority w:val="35"/>
    <w:pPr>
      <w:widowControl/>
      <w:jc w:val="left"/>
    </w:pPr>
    <w:rPr>
      <w:rFonts w:ascii="Cambria" w:hAnsi="Cambria" w:eastAsia="黑体" w:cs="Times New Roman"/>
      <w:sz w:val="20"/>
      <w:szCs w:val="20"/>
    </w:rPr>
  </w:style>
  <w:style w:type="paragraph" w:styleId="6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unhideWhenUsed/>
    <w:qFormat/>
    <w:uiPriority w:val="0"/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paragraph" w:customStyle="1" w:styleId="15">
    <w:name w:val="_Style 14"/>
    <w:basedOn w:val="1"/>
    <w:qFormat/>
    <w:uiPriority w:val="34"/>
    <w:pPr>
      <w:ind w:firstLine="420" w:firstLineChars="200"/>
    </w:pPr>
  </w:style>
  <w:style w:type="character" w:customStyle="1" w:styleId="16">
    <w:name w:val="批注框文本 字符"/>
    <w:link w:val="6"/>
    <w:qFormat/>
    <w:uiPriority w:val="99"/>
    <w:rPr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页脚 字符"/>
    <w:link w:val="7"/>
    <w:qFormat/>
    <w:uiPriority w:val="99"/>
    <w:rPr>
      <w:rFonts w:ascii="Calibri" w:hAnsi="Calibri" w:cs="黑体"/>
      <w:kern w:val="2"/>
      <w:sz w:val="18"/>
      <w:szCs w:val="18"/>
    </w:rPr>
  </w:style>
  <w:style w:type="paragraph" w:customStyle="1" w:styleId="19">
    <w:name w:val="样式2"/>
    <w:basedOn w:val="1"/>
    <w:qFormat/>
    <w:uiPriority w:val="0"/>
    <w:pPr>
      <w:spacing w:line="600" w:lineRule="exact"/>
      <w:ind w:left="420" w:leftChars="100" w:rightChars="100" w:firstLine="42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Www.DadiGhost.Com</Company>
  <Pages>2</Pages>
  <Words>111</Words>
  <Characters>639</Characters>
  <Lines>5</Lines>
  <Paragraphs>1</Paragraphs>
  <TotalTime>19</TotalTime>
  <ScaleCrop>false</ScaleCrop>
  <LinksUpToDate>false</LinksUpToDate>
  <CharactersWithSpaces>749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2019-01-08T07:08:00Z</dcterms:created>
  <dc:creator>Skyfree</dc:creator>
  <cp:lastModifiedBy>卍孙宝华卍</cp:lastModifiedBy>
  <cp:lastPrinted>2019-11-14T08:06:00Z</cp:lastPrinted>
  <dcterms:modified xsi:type="dcterms:W3CDTF">2021-02-10T11:13:46Z</dcterms:modified>
  <dc:title>《郑州市综合交通枢纽地区东南片区第B-04、B-05、C-02、C-03、C-04、C-06、C-07、C-11街坊控制性详细规划》批后公告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