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lang w:eastAsia="zh-CN"/>
        </w:rPr>
        <w:t>郑东新区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</w:rPr>
        <w:t>乡村两级政务服务事项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</w:rPr>
        <w:t>告知承诺制清单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</w:rPr>
      </w:pPr>
    </w:p>
    <w:tbl>
      <w:tblPr>
        <w:tblStyle w:val="5"/>
        <w:tblpPr w:leftFromText="180" w:rightFromText="180" w:vertAnchor="text" w:horzAnchor="page" w:tblpXSpec="center" w:tblpY="283"/>
        <w:tblOverlap w:val="never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33"/>
        <w:gridCol w:w="1845"/>
        <w:gridCol w:w="2685"/>
        <w:gridCol w:w="1457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序号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承办单位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行政事项名称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实行告知承诺制的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证明事项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核查方式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乡镇劳动保障事务办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城乡居民基本养老保险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出国（境）定居证明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医院出具的参保人死亡证明或民政部门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出具的火化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或公安部门出具的户籍注销证明或能够确定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指定受益人、法定继承人继承权的公证文书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社会保险养老待遇领取证明材料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现场核查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乡镇劳动保障事务办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城乡居民参保登记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有效身份证件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乡镇便民服务中心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企业单位参保登记（开户）（养老）</w:t>
            </w:r>
          </w:p>
        </w:tc>
        <w:tc>
          <w:tcPr>
            <w:tcW w:w="268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营业执照或其他核准执业证件原件及复印件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法定代表人经办人身份证复印件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银行开户许可证原件及复印件（均需要盖公章）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经办人身份证复印件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乡镇便民服务中心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职工参保登记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灵活就业人员参保登记需要身份证原件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乡镇便民服务中心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企业单位参保登记（开户）（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医保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营业执照或其他核准执业证件原件及复印件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法定代表人经办人身份证复印件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银行开户许可证原件及复印件（均需要盖公章）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经办人身份证复印件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70C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乡镇便民服务中心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职工医保参保登记</w:t>
            </w:r>
          </w:p>
        </w:tc>
        <w:tc>
          <w:tcPr>
            <w:tcW w:w="26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仅灵活就业人员参保登记需身份证原件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70C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乡镇便民服务中心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城乡居民医保参保登记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有效身份证件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现场核查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申请食品经营许可证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营业执照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在线核查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申请河南省食品小经营店登记证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营业执照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在线核查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申请仅销售预包装食品备案采集表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营业执照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在线核查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申请河南省食品小作坊登记证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营业执照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在线核查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个体工商户设立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住所使用证明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免予核查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乡镇市监所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个体工商户变更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变更住所的，提交变更后住所使用证明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免予核查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乡镇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武装部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初次兵役登记</w:t>
            </w:r>
          </w:p>
        </w:tc>
        <w:tc>
          <w:tcPr>
            <w:tcW w:w="26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有效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份证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户口本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本人到当地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武装部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身份核验，在全国征兵网进行兵役登记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现场核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查</w:t>
            </w:r>
          </w:p>
        </w:tc>
        <w:tc>
          <w:tcPr>
            <w:tcW w:w="5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jVmMjFjZWZhMjJkY2MwM2E3ZTU1ODQzNzFkZmEifQ=="/>
  </w:docVars>
  <w:rsids>
    <w:rsidRoot w:val="00000000"/>
    <w:rsid w:val="4F397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尚明月</cp:lastModifiedBy>
  <dcterms:modified xsi:type="dcterms:W3CDTF">2023-01-13T07:09:09Z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FEEDFF0F19FC43B488A75F97CD22EBBF</vt:lpwstr>
  </property>
</Properties>
</file>