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4" w:lineRule="auto"/>
        <w:rPr>
          <w:rFonts w:ascii="Arial"/>
          <w:sz w:val="21"/>
        </w:rPr>
      </w:pPr>
    </w:p>
    <w:p>
      <w:pPr>
        <w:spacing w:before="143" w:line="219" w:lineRule="auto"/>
        <w:ind w:left="4004"/>
        <w:rPr>
          <w:rFonts w:ascii="宋体" w:hAnsi="宋体" w:eastAsia="宋体" w:cs="宋体"/>
          <w:sz w:val="44"/>
          <w:szCs w:val="44"/>
        </w:rPr>
      </w:pPr>
      <w:r>
        <w:rPr>
          <w:rFonts w:ascii="宋体" w:hAnsi="宋体" w:eastAsia="宋体" w:cs="宋体"/>
          <w:b/>
          <w:bCs/>
          <w:spacing w:val="-6"/>
          <w:sz w:val="44"/>
          <w:szCs w:val="44"/>
        </w:rPr>
        <w:t>河南省市场监督管理减轻处罚事项清单</w:t>
      </w:r>
    </w:p>
    <w:p>
      <w:pPr>
        <w:spacing w:line="220" w:lineRule="exact"/>
      </w:pPr>
    </w:p>
    <w:tbl>
      <w:tblPr>
        <w:tblStyle w:val="8"/>
        <w:tblW w:w="14720" w:type="dxa"/>
        <w:tblInd w:w="3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5"/>
        <w:gridCol w:w="1559"/>
        <w:gridCol w:w="3917"/>
        <w:gridCol w:w="3058"/>
        <w:gridCol w:w="2099"/>
        <w:gridCol w:w="1689"/>
        <w:gridCol w:w="1009"/>
        <w:gridCol w:w="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395" w:type="dxa"/>
            <w:textDirection w:val="tbRlV"/>
            <w:vAlign w:val="top"/>
          </w:tcPr>
          <w:p>
            <w:pPr>
              <w:spacing w:before="70" w:line="217" w:lineRule="auto"/>
              <w:ind w:left="72"/>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1559" w:type="dxa"/>
            <w:vAlign w:val="top"/>
          </w:tcPr>
          <w:p>
            <w:pPr>
              <w:spacing w:before="212" w:line="220" w:lineRule="auto"/>
              <w:ind w:left="293"/>
              <w:rPr>
                <w:rFonts w:hint="eastAsia" w:ascii="黑体" w:hAnsi="黑体" w:eastAsia="黑体" w:cs="黑体"/>
                <w:b w:val="0"/>
                <w:bCs w:val="0"/>
                <w:sz w:val="24"/>
                <w:szCs w:val="24"/>
              </w:rPr>
            </w:pPr>
            <w:r>
              <w:rPr>
                <w:rFonts w:hint="eastAsia" w:ascii="黑体" w:hAnsi="黑体" w:eastAsia="黑体" w:cs="黑体"/>
                <w:b w:val="0"/>
                <w:bCs w:val="0"/>
                <w:spacing w:val="-5"/>
                <w:sz w:val="24"/>
                <w:szCs w:val="24"/>
              </w:rPr>
              <w:t>事项名称</w:t>
            </w:r>
          </w:p>
        </w:tc>
        <w:tc>
          <w:tcPr>
            <w:tcW w:w="3917" w:type="dxa"/>
            <w:vAlign w:val="top"/>
          </w:tcPr>
          <w:p>
            <w:pPr>
              <w:spacing w:before="209" w:line="219" w:lineRule="auto"/>
              <w:ind w:left="1484"/>
              <w:rPr>
                <w:rFonts w:hint="eastAsia" w:ascii="黑体" w:hAnsi="黑体" w:eastAsia="黑体" w:cs="黑体"/>
                <w:b w:val="0"/>
                <w:bCs w:val="0"/>
                <w:sz w:val="24"/>
                <w:szCs w:val="24"/>
              </w:rPr>
            </w:pPr>
            <w:r>
              <w:rPr>
                <w:rFonts w:hint="eastAsia" w:ascii="黑体" w:hAnsi="黑体" w:eastAsia="黑体" w:cs="黑体"/>
                <w:b w:val="0"/>
                <w:bCs w:val="0"/>
                <w:spacing w:val="-1"/>
                <w:sz w:val="24"/>
                <w:szCs w:val="24"/>
              </w:rPr>
              <w:t>设定依据</w:t>
            </w:r>
          </w:p>
        </w:tc>
        <w:tc>
          <w:tcPr>
            <w:tcW w:w="3058" w:type="dxa"/>
            <w:vAlign w:val="top"/>
          </w:tcPr>
          <w:p>
            <w:pPr>
              <w:spacing w:before="212" w:line="220" w:lineRule="auto"/>
              <w:ind w:left="1057"/>
              <w:rPr>
                <w:rFonts w:hint="eastAsia" w:ascii="黑体" w:hAnsi="黑体" w:eastAsia="黑体" w:cs="黑体"/>
                <w:b w:val="0"/>
                <w:bCs w:val="0"/>
                <w:sz w:val="24"/>
                <w:szCs w:val="24"/>
              </w:rPr>
            </w:pPr>
            <w:r>
              <w:rPr>
                <w:rFonts w:hint="eastAsia" w:ascii="黑体" w:hAnsi="黑体" w:eastAsia="黑体" w:cs="黑体"/>
                <w:b w:val="0"/>
                <w:bCs w:val="0"/>
                <w:spacing w:val="-5"/>
                <w:sz w:val="24"/>
                <w:szCs w:val="24"/>
              </w:rPr>
              <w:t>适用情形</w:t>
            </w:r>
          </w:p>
        </w:tc>
        <w:tc>
          <w:tcPr>
            <w:tcW w:w="2099" w:type="dxa"/>
            <w:vAlign w:val="top"/>
          </w:tcPr>
          <w:p>
            <w:pPr>
              <w:spacing w:before="209" w:line="219" w:lineRule="auto"/>
              <w:ind w:left="329"/>
              <w:rPr>
                <w:rFonts w:hint="eastAsia" w:ascii="黑体" w:hAnsi="黑体" w:eastAsia="黑体" w:cs="黑体"/>
                <w:b w:val="0"/>
                <w:bCs w:val="0"/>
                <w:sz w:val="24"/>
                <w:szCs w:val="24"/>
              </w:rPr>
            </w:pPr>
            <w:r>
              <w:rPr>
                <w:rFonts w:hint="eastAsia" w:ascii="黑体" w:hAnsi="黑体" w:eastAsia="黑体" w:cs="黑体"/>
                <w:b w:val="0"/>
                <w:bCs w:val="0"/>
                <w:spacing w:val="-4"/>
                <w:sz w:val="24"/>
                <w:szCs w:val="24"/>
              </w:rPr>
              <w:t>减轻处罚依据</w:t>
            </w:r>
          </w:p>
        </w:tc>
        <w:tc>
          <w:tcPr>
            <w:tcW w:w="1689" w:type="dxa"/>
            <w:vAlign w:val="top"/>
          </w:tcPr>
          <w:p>
            <w:pPr>
              <w:spacing w:before="209" w:line="218" w:lineRule="auto"/>
              <w:ind w:left="360"/>
              <w:rPr>
                <w:rFonts w:hint="eastAsia" w:ascii="黑体" w:hAnsi="黑体" w:eastAsia="黑体" w:cs="黑体"/>
                <w:b w:val="0"/>
                <w:bCs w:val="0"/>
                <w:sz w:val="24"/>
                <w:szCs w:val="24"/>
              </w:rPr>
            </w:pPr>
            <w:r>
              <w:rPr>
                <w:rFonts w:hint="eastAsia" w:ascii="黑体" w:hAnsi="黑体" w:eastAsia="黑体" w:cs="黑体"/>
                <w:b w:val="0"/>
                <w:bCs w:val="0"/>
                <w:spacing w:val="-5"/>
                <w:sz w:val="24"/>
                <w:szCs w:val="24"/>
              </w:rPr>
              <w:t>裁量幅度</w:t>
            </w:r>
          </w:p>
        </w:tc>
        <w:tc>
          <w:tcPr>
            <w:tcW w:w="1009" w:type="dxa"/>
            <w:vAlign w:val="top"/>
          </w:tcPr>
          <w:p>
            <w:pPr>
              <w:spacing w:before="72" w:line="213" w:lineRule="auto"/>
              <w:ind w:left="141" w:right="146"/>
              <w:rPr>
                <w:rFonts w:hint="eastAsia" w:ascii="黑体" w:hAnsi="黑体" w:eastAsia="黑体" w:cs="黑体"/>
                <w:b w:val="0"/>
                <w:bCs w:val="0"/>
                <w:sz w:val="24"/>
                <w:szCs w:val="24"/>
              </w:rPr>
            </w:pPr>
            <w:r>
              <w:rPr>
                <w:rFonts w:hint="eastAsia" w:ascii="黑体" w:hAnsi="黑体" w:eastAsia="黑体" w:cs="黑体"/>
                <w:b w:val="0"/>
                <w:bCs w:val="0"/>
                <w:spacing w:val="-6"/>
                <w:sz w:val="24"/>
                <w:szCs w:val="24"/>
              </w:rPr>
              <w:t>配套监管措施</w:t>
            </w:r>
          </w:p>
        </w:tc>
        <w:tc>
          <w:tcPr>
            <w:tcW w:w="994" w:type="dxa"/>
            <w:vAlign w:val="top"/>
          </w:tcPr>
          <w:p>
            <w:pPr>
              <w:spacing w:before="212" w:line="221" w:lineRule="auto"/>
              <w:ind w:left="252"/>
              <w:rPr>
                <w:rFonts w:hint="eastAsia" w:ascii="黑体" w:hAnsi="黑体" w:eastAsia="黑体" w:cs="黑体"/>
                <w:b w:val="0"/>
                <w:bCs w:val="0"/>
                <w:sz w:val="24"/>
                <w:szCs w:val="24"/>
              </w:rPr>
            </w:pPr>
            <w:r>
              <w:rPr>
                <w:rFonts w:hint="eastAsia" w:ascii="黑体" w:hAnsi="黑体" w:eastAsia="黑体" w:cs="黑体"/>
                <w:b w:val="0"/>
                <w:bCs w:val="0"/>
                <w:spacing w:val="-6"/>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4" w:hRule="atLeast"/>
        </w:trPr>
        <w:tc>
          <w:tcPr>
            <w:tcW w:w="395"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1</w:t>
            </w:r>
          </w:p>
        </w:tc>
        <w:tc>
          <w:tcPr>
            <w:tcW w:w="155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未经许可(超出原许可范围、许可到期未延续)从事食品、食品添加剂生产经营的处罚</w:t>
            </w:r>
          </w:p>
        </w:tc>
        <w:tc>
          <w:tcPr>
            <w:tcW w:w="3917"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食品安全法》第一百二十二条：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tc>
        <w:tc>
          <w:tcPr>
            <w:tcW w:w="3058"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超出原许可范围或者许可到期未延续，从事食品、食品添加剂的生产经营活动，生产的食品、食品添加剂经检验合格，且存在以下情形之一：1.初次违法；2.主动改正；3.主动消除或者减轻违法行为危害后果的；4.配合市场监管部门调查；5.行政处罚裁量基准明确的其他可以减轻处罚</w:t>
            </w:r>
            <w:bookmarkStart w:id="0" w:name="_GoBack"/>
            <w:bookmarkEnd w:id="0"/>
            <w:r>
              <w:rPr>
                <w:rFonts w:ascii="宋体" w:hAnsi="宋体" w:eastAsia="宋体" w:cs="宋体"/>
                <w:spacing w:val="25"/>
                <w:sz w:val="21"/>
                <w:szCs w:val="21"/>
              </w:rPr>
              <w:t>的情形。</w:t>
            </w:r>
          </w:p>
        </w:tc>
        <w:tc>
          <w:tcPr>
            <w:tcW w:w="209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《行政处罚法》第五条第二款：设定和实施行政处罚必须以事实为依据，与违法行为的事实、性质、情节以及社会危害程度相当。</w:t>
            </w:r>
          </w:p>
        </w:tc>
        <w:tc>
          <w:tcPr>
            <w:tcW w:w="168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不予没收用于违法生产经营的工具、设备、原料等物品，其他行政处罚考量违法行为的事实、性质、情节、社会危害程度等因素</w:t>
            </w:r>
            <w:r>
              <w:rPr>
                <w:rFonts w:ascii="宋体" w:hAnsi="宋体" w:eastAsia="宋体" w:cs="宋体"/>
                <w:spacing w:val="25"/>
                <w:sz w:val="21"/>
                <w:szCs w:val="21"/>
              </w:rPr>
              <w:t>后作出。</w:t>
            </w:r>
          </w:p>
        </w:tc>
        <w:tc>
          <w:tcPr>
            <w:tcW w:w="100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批评教育、告诫约谈。</w:t>
            </w:r>
          </w:p>
        </w:tc>
        <w:tc>
          <w:tcPr>
            <w:tcW w:w="994" w:type="dxa"/>
            <w:vAlign w:val="center"/>
          </w:tcPr>
          <w:p>
            <w:pPr>
              <w:jc w:val="both"/>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1" w:hRule="atLeast"/>
        </w:trPr>
        <w:tc>
          <w:tcPr>
            <w:tcW w:w="395"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2</w:t>
            </w:r>
          </w:p>
        </w:tc>
        <w:tc>
          <w:tcPr>
            <w:tcW w:w="155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销售不能够完全恢复到初始状态的无理由退货商品，且未通过显著的方式明确标注商品实际情况的的行政处罚</w:t>
            </w:r>
          </w:p>
        </w:tc>
        <w:tc>
          <w:tcPr>
            <w:tcW w:w="3917"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网络购买商品七日无理由退货暂行办法》第三十三条：网络商品销售者违反本办法第二十五条规定，销售不能够完全恢复到初始状态的无理由退货商品，且未通过显著的方式明确标注商品实际情况的，违反其他法律、行政法规的，依照有关法律、行政法规的规定处罚；法律、行政法规未作规定的，予以警告，责令改正，并处一万元以上三万元以下的罚款。</w:t>
            </w:r>
          </w:p>
        </w:tc>
        <w:tc>
          <w:tcPr>
            <w:tcW w:w="3058"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违法行为持续时间较短、经营规模较小，且存在以下情形之一：1.初次违法；2.主动改正；3.主动消除或者减轻违法行为危害后果的；4.配合市场监管部门调查；5.行政处罚裁量基准明确的其他可以减轻处罚的情形。</w:t>
            </w:r>
          </w:p>
        </w:tc>
        <w:tc>
          <w:tcPr>
            <w:tcW w:w="209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《行政处罚法》第五条第二款：设定和实施行政处罚必须以事实为依据，与违法行为的事实、性质、情节以及社会危害程度相当。</w:t>
            </w:r>
          </w:p>
        </w:tc>
        <w:tc>
          <w:tcPr>
            <w:tcW w:w="168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罚款的数额一般为5000元以下。</w:t>
            </w:r>
          </w:p>
        </w:tc>
        <w:tc>
          <w:tcPr>
            <w:tcW w:w="100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批评教</w:t>
            </w:r>
            <w:r>
              <w:rPr>
                <w:rFonts w:ascii="宋体" w:hAnsi="宋体" w:eastAsia="宋体" w:cs="宋体"/>
                <w:spacing w:val="25"/>
                <w:sz w:val="21"/>
                <w:szCs w:val="21"/>
              </w:rPr>
              <w:t>育、告诫约谈。</w:t>
            </w:r>
          </w:p>
        </w:tc>
        <w:tc>
          <w:tcPr>
            <w:tcW w:w="994" w:type="dxa"/>
            <w:vAlign w:val="center"/>
          </w:tcPr>
          <w:p>
            <w:pPr>
              <w:jc w:val="both"/>
              <w:rPr>
                <w:rFonts w:ascii="Arial"/>
                <w:sz w:val="21"/>
              </w:rPr>
            </w:pPr>
          </w:p>
        </w:tc>
      </w:tr>
    </w:tbl>
    <w:p>
      <w:pPr>
        <w:rPr>
          <w:rFonts w:ascii="Arial"/>
          <w:sz w:val="21"/>
        </w:rPr>
      </w:pPr>
    </w:p>
    <w:p>
      <w:pPr>
        <w:sectPr>
          <w:footerReference r:id="rId3" w:type="default"/>
          <w:pgSz w:w="16840" w:h="11900"/>
          <w:pgMar w:top="1011" w:right="1085" w:bottom="400" w:left="671" w:header="0" w:footer="850" w:gutter="0"/>
          <w:pgNumType w:fmt="decimal"/>
          <w:cols w:space="720" w:num="1"/>
        </w:sectPr>
      </w:pPr>
    </w:p>
    <w:p>
      <w:r>
        <mc:AlternateContent>
          <mc:Choice Requires="wps">
            <w:drawing>
              <wp:anchor distT="0" distB="0" distL="0" distR="0" simplePos="0" relativeHeight="251660288" behindDoc="0" locked="0" layoutInCell="0" allowOverlap="1">
                <wp:simplePos x="0" y="0"/>
                <wp:positionH relativeFrom="page">
                  <wp:posOffset>87630</wp:posOffset>
                </wp:positionH>
                <wp:positionV relativeFrom="page">
                  <wp:posOffset>1303655</wp:posOffset>
                </wp:positionV>
                <wp:extent cx="741045" cy="191135"/>
                <wp:effectExtent l="274955" t="0" r="0" b="0"/>
                <wp:wrapNone/>
                <wp:docPr id="13" name="TextBox 6"/>
                <wp:cNvGraphicFramePr/>
                <a:graphic xmlns:a="http://schemas.openxmlformats.org/drawingml/2006/main">
                  <a:graphicData uri="http://schemas.microsoft.com/office/word/2010/wordprocessingShape">
                    <wps:wsp>
                      <wps:cNvSpPr txBox="1"/>
                      <wps:spPr>
                        <a:xfrm rot="5400000">
                          <a:off x="88055" y="1303885"/>
                          <a:ext cx="741044" cy="19113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80" w:line="184" w:lineRule="auto"/>
                              <w:rPr>
                                <w:rFonts w:ascii="宋体" w:hAnsi="宋体" w:eastAsia="宋体" w:cs="宋体"/>
                                <w:sz w:val="20"/>
                                <w:szCs w:val="20"/>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6" o:spid="_x0000_s1026" o:spt="202" type="#_x0000_t202" style="position:absolute;left:0pt;margin-left:6.9pt;margin-top:102.65pt;height:15.05pt;width:58.35pt;mso-position-horizontal-relative:page;mso-position-vertical-relative:page;rotation:5898240f;z-index:251660288;mso-width-relative:page;mso-height-relative:page;" filled="f" stroked="f" coordsize="21600,21600" o:allowincell="f" o:gfxdata="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8IABXUAAAACgEAAA8AAAAAAAAAAQAgAAAAIgAAAGRycy9kb3ducmV2LnhtbFBLAQIU&#10;ABQAAAAIAIdO4kBwjypGMAIAAGkEAAAOAAAAAAAAAAEAIAAAACMBAABkcnMvZTJvRG9jLnhtbFBL&#10;BQYAAAAABgAGAFkBAADFBQAAAAA=&#10;">
                <v:fill on="f" focussize="0,0"/>
                <v:stroke on="f" weight="0pt"/>
                <v:imagedata o:title=""/>
                <o:lock v:ext="edit" aspectratio="f"/>
                <v:textbox inset="0mm,0mm,0mm,0mm">
                  <w:txbxContent>
                    <w:p>
                      <w:pPr>
                        <w:spacing w:before="80" w:line="184" w:lineRule="auto"/>
                        <w:rPr>
                          <w:rFonts w:ascii="宋体" w:hAnsi="宋体" w:eastAsia="宋体" w:cs="宋体"/>
                          <w:sz w:val="20"/>
                          <w:szCs w:val="20"/>
                        </w:rPr>
                      </w:pPr>
                    </w:p>
                  </w:txbxContent>
                </v:textbox>
              </v:shape>
            </w:pict>
          </mc:Fallback>
        </mc:AlternateContent>
      </w:r>
    </w:p>
    <w:p/>
    <w:p>
      <w:pPr>
        <w:spacing w:line="80" w:lineRule="exact"/>
      </w:pPr>
    </w:p>
    <w:tbl>
      <w:tblPr>
        <w:tblStyle w:val="8"/>
        <w:tblW w:w="14720" w:type="dxa"/>
        <w:tblInd w:w="3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5"/>
        <w:gridCol w:w="1559"/>
        <w:gridCol w:w="3927"/>
        <w:gridCol w:w="3048"/>
        <w:gridCol w:w="2099"/>
        <w:gridCol w:w="1679"/>
        <w:gridCol w:w="1009"/>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395" w:type="dxa"/>
            <w:textDirection w:val="tbRlV"/>
            <w:vAlign w:val="top"/>
          </w:tcPr>
          <w:p>
            <w:pPr>
              <w:spacing w:before="80" w:line="217" w:lineRule="auto"/>
              <w:ind w:left="83"/>
              <w:rPr>
                <w:rFonts w:hint="eastAsia" w:ascii="黑体" w:hAnsi="黑体" w:eastAsia="黑体" w:cs="黑体"/>
                <w:b w:val="0"/>
                <w:bCs w:val="0"/>
                <w:sz w:val="23"/>
                <w:szCs w:val="23"/>
              </w:rPr>
            </w:pPr>
            <w:r>
              <w:rPr>
                <w:rFonts w:hint="eastAsia" w:ascii="黑体" w:hAnsi="黑体" w:eastAsia="黑体" w:cs="黑体"/>
                <w:b w:val="0"/>
                <w:bCs w:val="0"/>
                <w:sz w:val="23"/>
                <w:szCs w:val="23"/>
              </w:rPr>
              <w:t>序号</w:t>
            </w:r>
          </w:p>
        </w:tc>
        <w:tc>
          <w:tcPr>
            <w:tcW w:w="1559" w:type="dxa"/>
            <w:vAlign w:val="top"/>
          </w:tcPr>
          <w:p>
            <w:pPr>
              <w:spacing w:before="221" w:line="220" w:lineRule="auto"/>
              <w:ind w:left="313"/>
              <w:rPr>
                <w:rFonts w:hint="eastAsia" w:ascii="黑体" w:hAnsi="黑体" w:eastAsia="黑体" w:cs="黑体"/>
                <w:b w:val="0"/>
                <w:bCs w:val="0"/>
                <w:sz w:val="23"/>
                <w:szCs w:val="23"/>
              </w:rPr>
            </w:pPr>
            <w:r>
              <w:rPr>
                <w:rFonts w:hint="eastAsia" w:ascii="黑体" w:hAnsi="黑体" w:eastAsia="黑体" w:cs="黑体"/>
                <w:b w:val="0"/>
                <w:bCs w:val="0"/>
                <w:spacing w:val="-5"/>
                <w:sz w:val="23"/>
                <w:szCs w:val="23"/>
              </w:rPr>
              <w:t>事项名称</w:t>
            </w:r>
          </w:p>
        </w:tc>
        <w:tc>
          <w:tcPr>
            <w:tcW w:w="3927" w:type="dxa"/>
            <w:vAlign w:val="top"/>
          </w:tcPr>
          <w:p>
            <w:pPr>
              <w:spacing w:before="219" w:line="219" w:lineRule="auto"/>
              <w:ind w:left="1484"/>
              <w:rPr>
                <w:rFonts w:hint="eastAsia" w:ascii="黑体" w:hAnsi="黑体" w:eastAsia="黑体" w:cs="黑体"/>
                <w:b w:val="0"/>
                <w:bCs w:val="0"/>
                <w:sz w:val="23"/>
                <w:szCs w:val="23"/>
              </w:rPr>
            </w:pPr>
            <w:r>
              <w:rPr>
                <w:rFonts w:hint="eastAsia" w:ascii="黑体" w:hAnsi="黑体" w:eastAsia="黑体" w:cs="黑体"/>
                <w:b w:val="0"/>
                <w:bCs w:val="0"/>
                <w:spacing w:val="9"/>
                <w:sz w:val="23"/>
                <w:szCs w:val="23"/>
              </w:rPr>
              <w:t>设定依据</w:t>
            </w:r>
          </w:p>
        </w:tc>
        <w:tc>
          <w:tcPr>
            <w:tcW w:w="3048" w:type="dxa"/>
            <w:vAlign w:val="top"/>
          </w:tcPr>
          <w:p>
            <w:pPr>
              <w:spacing w:before="221" w:line="220" w:lineRule="auto"/>
              <w:ind w:left="1047"/>
              <w:rPr>
                <w:rFonts w:hint="eastAsia" w:ascii="黑体" w:hAnsi="黑体" w:eastAsia="黑体" w:cs="黑体"/>
                <w:b w:val="0"/>
                <w:bCs w:val="0"/>
                <w:sz w:val="23"/>
                <w:szCs w:val="23"/>
              </w:rPr>
            </w:pPr>
            <w:r>
              <w:rPr>
                <w:rFonts w:hint="eastAsia" w:ascii="黑体" w:hAnsi="黑体" w:eastAsia="黑体" w:cs="黑体"/>
                <w:b w:val="0"/>
                <w:bCs w:val="0"/>
                <w:spacing w:val="8"/>
                <w:sz w:val="23"/>
                <w:szCs w:val="23"/>
              </w:rPr>
              <w:t>适用情形</w:t>
            </w:r>
          </w:p>
        </w:tc>
        <w:tc>
          <w:tcPr>
            <w:tcW w:w="2099" w:type="dxa"/>
            <w:vAlign w:val="top"/>
          </w:tcPr>
          <w:p>
            <w:pPr>
              <w:spacing w:before="219" w:line="219" w:lineRule="auto"/>
              <w:ind w:left="349"/>
              <w:rPr>
                <w:rFonts w:hint="eastAsia" w:ascii="黑体" w:hAnsi="黑体" w:eastAsia="黑体" w:cs="黑体"/>
                <w:b w:val="0"/>
                <w:bCs w:val="0"/>
                <w:sz w:val="23"/>
                <w:szCs w:val="23"/>
              </w:rPr>
            </w:pPr>
            <w:r>
              <w:rPr>
                <w:rFonts w:hint="eastAsia" w:ascii="黑体" w:hAnsi="黑体" w:eastAsia="黑体" w:cs="黑体"/>
                <w:b w:val="0"/>
                <w:bCs w:val="0"/>
                <w:spacing w:val="-4"/>
                <w:sz w:val="23"/>
                <w:szCs w:val="23"/>
              </w:rPr>
              <w:t>减轻处罚依据</w:t>
            </w:r>
          </w:p>
        </w:tc>
        <w:tc>
          <w:tcPr>
            <w:tcW w:w="1679" w:type="dxa"/>
            <w:vAlign w:val="top"/>
          </w:tcPr>
          <w:p>
            <w:pPr>
              <w:spacing w:before="219" w:line="218" w:lineRule="auto"/>
              <w:ind w:left="350"/>
              <w:rPr>
                <w:rFonts w:hint="eastAsia" w:ascii="黑体" w:hAnsi="黑体" w:eastAsia="黑体" w:cs="黑体"/>
                <w:b w:val="0"/>
                <w:bCs w:val="0"/>
                <w:sz w:val="23"/>
                <w:szCs w:val="23"/>
              </w:rPr>
            </w:pPr>
            <w:r>
              <w:rPr>
                <w:rFonts w:hint="eastAsia" w:ascii="黑体" w:hAnsi="黑体" w:eastAsia="黑体" w:cs="黑体"/>
                <w:b w:val="0"/>
                <w:bCs w:val="0"/>
                <w:spacing w:val="-5"/>
                <w:sz w:val="23"/>
                <w:szCs w:val="23"/>
              </w:rPr>
              <w:t>裁量幅度</w:t>
            </w:r>
          </w:p>
        </w:tc>
        <w:tc>
          <w:tcPr>
            <w:tcW w:w="1009" w:type="dxa"/>
            <w:vAlign w:val="top"/>
          </w:tcPr>
          <w:p>
            <w:pPr>
              <w:spacing w:before="80" w:line="214" w:lineRule="auto"/>
              <w:ind w:left="161" w:right="156"/>
              <w:rPr>
                <w:rFonts w:hint="eastAsia" w:ascii="黑体" w:hAnsi="黑体" w:eastAsia="黑体" w:cs="黑体"/>
                <w:b w:val="0"/>
                <w:bCs w:val="0"/>
                <w:sz w:val="23"/>
                <w:szCs w:val="23"/>
              </w:rPr>
            </w:pPr>
            <w:r>
              <w:rPr>
                <w:rFonts w:hint="eastAsia" w:ascii="黑体" w:hAnsi="黑体" w:eastAsia="黑体" w:cs="黑体"/>
                <w:b w:val="0"/>
                <w:bCs w:val="0"/>
                <w:spacing w:val="-6"/>
                <w:sz w:val="23"/>
                <w:szCs w:val="23"/>
              </w:rPr>
              <w:t>配套监管措施</w:t>
            </w:r>
          </w:p>
        </w:tc>
        <w:tc>
          <w:tcPr>
            <w:tcW w:w="1004" w:type="dxa"/>
            <w:vAlign w:val="top"/>
          </w:tcPr>
          <w:p>
            <w:pPr>
              <w:spacing w:before="222" w:line="221" w:lineRule="auto"/>
              <w:ind w:left="272"/>
              <w:rPr>
                <w:rFonts w:hint="eastAsia" w:ascii="黑体" w:hAnsi="黑体" w:eastAsia="黑体" w:cs="黑体"/>
                <w:b w:val="0"/>
                <w:bCs w:val="0"/>
                <w:sz w:val="23"/>
                <w:szCs w:val="23"/>
              </w:rPr>
            </w:pPr>
            <w:r>
              <w:rPr>
                <w:rFonts w:hint="eastAsia" w:ascii="黑体" w:hAnsi="黑体" w:eastAsia="黑体" w:cs="黑体"/>
                <w:b w:val="0"/>
                <w:bCs w:val="0"/>
                <w:spacing w:val="-6"/>
                <w:sz w:val="23"/>
                <w:szCs w:val="23"/>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6" w:hRule="atLeast"/>
        </w:trPr>
        <w:tc>
          <w:tcPr>
            <w:tcW w:w="395"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3</w:t>
            </w:r>
          </w:p>
        </w:tc>
        <w:tc>
          <w:tcPr>
            <w:tcW w:w="155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将“驰名商标”字样用于商品、商品包装或者容器上，或者用于广告宣传、展览以及其他商业活动中的行政处罚</w:t>
            </w:r>
          </w:p>
        </w:tc>
        <w:tc>
          <w:tcPr>
            <w:tcW w:w="3927"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中华人民共和国商标法》第五十三条：违反本法第十四条第五款规定的，由地方工商行政管理部门责令改正，处十万元罚款。第十四条第五款：生产、经营者不得将“驰名商标”字样用于商品、商品包装或者容器上，或者用于广告宣传、展览以及其他商业活动中。</w:t>
            </w:r>
          </w:p>
        </w:tc>
        <w:tc>
          <w:tcPr>
            <w:tcW w:w="3048"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在网站上或其他经营活动中，对商标获得驰名商标保护的记录做事实性陈述时，故意突出“驰名商标”字样，构成广告宣传、展览等违法行为，违法行为持续时间较短、点击率或阅读量较低，经营规模较小，且存在以下情形之一：1.初次违法；2.主动改正；3.主动消除或者减轻违法行为危害后果的；4.配合市场监管部门调查；5.行政处罚裁量基准明确的其他可以减轻处罚的情形。</w:t>
            </w:r>
          </w:p>
        </w:tc>
        <w:tc>
          <w:tcPr>
            <w:tcW w:w="209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《行政处罚法》第五条第二款：设定和实施行政处罚必须以事实为依据，与违法行为的事实、性质、情节以及社会危害程度相当。</w:t>
            </w:r>
          </w:p>
        </w:tc>
        <w:tc>
          <w:tcPr>
            <w:tcW w:w="167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罚款的数额一般为3万以下。</w:t>
            </w:r>
          </w:p>
        </w:tc>
        <w:tc>
          <w:tcPr>
            <w:tcW w:w="100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批评教</w:t>
            </w:r>
            <w:r>
              <w:rPr>
                <w:rFonts w:ascii="宋体" w:hAnsi="宋体" w:eastAsia="宋体" w:cs="宋体"/>
                <w:spacing w:val="25"/>
                <w:sz w:val="21"/>
                <w:szCs w:val="21"/>
              </w:rPr>
              <w:t>育、告诫约谈。</w:t>
            </w:r>
          </w:p>
        </w:tc>
        <w:tc>
          <w:tcPr>
            <w:tcW w:w="1004" w:type="dxa"/>
            <w:vAlign w:val="center"/>
          </w:tcPr>
          <w:p>
            <w:pPr>
              <w:jc w:val="both"/>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0" w:hRule="atLeast"/>
        </w:trPr>
        <w:tc>
          <w:tcPr>
            <w:tcW w:w="395"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4</w:t>
            </w:r>
          </w:p>
        </w:tc>
        <w:tc>
          <w:tcPr>
            <w:tcW w:w="155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广告中使用“国家级”“最高级”</w:t>
            </w:r>
            <w:r>
              <w:rPr>
                <w:rFonts w:ascii="宋体" w:hAnsi="宋体" w:eastAsia="宋体" w:cs="宋体"/>
                <w:spacing w:val="25"/>
                <w:sz w:val="21"/>
                <w:szCs w:val="21"/>
              </w:rPr>
              <w:t>“最佳”等用语的行为的行政处罚</w:t>
            </w:r>
          </w:p>
        </w:tc>
        <w:tc>
          <w:tcPr>
            <w:tcW w:w="3927"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中华人民共和国广告法》第五十七条：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一)发布有本法第九条、第十条规定的禁止情形的广告的。第九条：广告不得有下列情形：(3)使用“国家级”、“最高级”、“最佳”等用语。</w:t>
            </w:r>
          </w:p>
        </w:tc>
        <w:tc>
          <w:tcPr>
            <w:tcW w:w="3048"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广告主在其经营场所或者利用自有媒体发布自有商品或者服务广告，点击率或阅读量较低，且存在以下情形之一：1.初次违法；2.主动改正；3.主动消除或者减轻违法行为危害后果的；4.配合市场监管部门调查；5.行政处罚裁量基准明确的其他可以减轻处罚的情形。</w:t>
            </w:r>
          </w:p>
        </w:tc>
        <w:tc>
          <w:tcPr>
            <w:tcW w:w="209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《行政处罚法》第五条第二款：设定和实施行政处罚必须以事实为依据，与违法行为的事实、性质、情节以及社会危害程度相当。</w:t>
            </w:r>
          </w:p>
        </w:tc>
        <w:tc>
          <w:tcPr>
            <w:tcW w:w="167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罚款的数额一般为5万以下。</w:t>
            </w:r>
          </w:p>
        </w:tc>
        <w:tc>
          <w:tcPr>
            <w:tcW w:w="100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批评教</w:t>
            </w:r>
            <w:r>
              <w:rPr>
                <w:rFonts w:ascii="宋体" w:hAnsi="宋体" w:eastAsia="宋体" w:cs="宋体"/>
                <w:spacing w:val="25"/>
                <w:sz w:val="21"/>
                <w:szCs w:val="21"/>
              </w:rPr>
              <w:t>育、告诫约谈。</w:t>
            </w:r>
          </w:p>
        </w:tc>
        <w:tc>
          <w:tcPr>
            <w:tcW w:w="1004" w:type="dxa"/>
            <w:vAlign w:val="center"/>
          </w:tcPr>
          <w:p>
            <w:pPr>
              <w:jc w:val="both"/>
              <w:rPr>
                <w:rFonts w:ascii="Arial"/>
                <w:sz w:val="21"/>
              </w:rPr>
            </w:pPr>
          </w:p>
        </w:tc>
      </w:tr>
    </w:tbl>
    <w:p/>
    <w:p>
      <w:pPr>
        <w:spacing w:line="100" w:lineRule="exact"/>
      </w:pPr>
    </w:p>
    <w:tbl>
      <w:tblPr>
        <w:tblStyle w:val="8"/>
        <w:tblW w:w="14720" w:type="dxa"/>
        <w:tblInd w:w="4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5"/>
        <w:gridCol w:w="1559"/>
        <w:gridCol w:w="3917"/>
        <w:gridCol w:w="3058"/>
        <w:gridCol w:w="2099"/>
        <w:gridCol w:w="1689"/>
        <w:gridCol w:w="1009"/>
        <w:gridCol w:w="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395" w:type="dxa"/>
            <w:textDirection w:val="tbRlV"/>
            <w:vAlign w:val="top"/>
          </w:tcPr>
          <w:p>
            <w:pPr>
              <w:spacing w:before="80" w:line="217" w:lineRule="auto"/>
              <w:ind w:left="72"/>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1559" w:type="dxa"/>
            <w:vAlign w:val="top"/>
          </w:tcPr>
          <w:p>
            <w:pPr>
              <w:spacing w:before="212" w:line="220" w:lineRule="auto"/>
              <w:ind w:left="293"/>
              <w:rPr>
                <w:rFonts w:hint="eastAsia" w:ascii="黑体" w:hAnsi="黑体" w:eastAsia="黑体" w:cs="黑体"/>
                <w:b w:val="0"/>
                <w:bCs w:val="0"/>
                <w:sz w:val="24"/>
                <w:szCs w:val="24"/>
              </w:rPr>
            </w:pPr>
            <w:r>
              <w:rPr>
                <w:rFonts w:hint="eastAsia" w:ascii="黑体" w:hAnsi="黑体" w:eastAsia="黑体" w:cs="黑体"/>
                <w:b w:val="0"/>
                <w:bCs w:val="0"/>
                <w:spacing w:val="-5"/>
                <w:sz w:val="24"/>
                <w:szCs w:val="24"/>
              </w:rPr>
              <w:t>事项名称</w:t>
            </w:r>
          </w:p>
        </w:tc>
        <w:tc>
          <w:tcPr>
            <w:tcW w:w="3917" w:type="dxa"/>
            <w:vAlign w:val="top"/>
          </w:tcPr>
          <w:p>
            <w:pPr>
              <w:spacing w:before="210" w:line="219" w:lineRule="auto"/>
              <w:ind w:left="1484"/>
              <w:rPr>
                <w:rFonts w:hint="eastAsia" w:ascii="黑体" w:hAnsi="黑体" w:eastAsia="黑体" w:cs="黑体"/>
                <w:b w:val="0"/>
                <w:bCs w:val="0"/>
                <w:sz w:val="24"/>
                <w:szCs w:val="24"/>
              </w:rPr>
            </w:pPr>
            <w:r>
              <w:rPr>
                <w:rFonts w:hint="eastAsia" w:ascii="黑体" w:hAnsi="黑体" w:eastAsia="黑体" w:cs="黑体"/>
                <w:b w:val="0"/>
                <w:bCs w:val="0"/>
                <w:spacing w:val="-1"/>
                <w:sz w:val="24"/>
                <w:szCs w:val="24"/>
              </w:rPr>
              <w:t>设定依据</w:t>
            </w:r>
          </w:p>
        </w:tc>
        <w:tc>
          <w:tcPr>
            <w:tcW w:w="3058" w:type="dxa"/>
            <w:vAlign w:val="top"/>
          </w:tcPr>
          <w:p>
            <w:pPr>
              <w:spacing w:before="212" w:line="220" w:lineRule="auto"/>
              <w:ind w:left="1047"/>
              <w:rPr>
                <w:rFonts w:hint="eastAsia" w:ascii="黑体" w:hAnsi="黑体" w:eastAsia="黑体" w:cs="黑体"/>
                <w:b w:val="0"/>
                <w:bCs w:val="0"/>
                <w:sz w:val="24"/>
                <w:szCs w:val="24"/>
              </w:rPr>
            </w:pPr>
            <w:r>
              <w:rPr>
                <w:rFonts w:hint="eastAsia" w:ascii="黑体" w:hAnsi="黑体" w:eastAsia="黑体" w:cs="黑体"/>
                <w:b w:val="0"/>
                <w:bCs w:val="0"/>
                <w:spacing w:val="-5"/>
                <w:sz w:val="24"/>
                <w:szCs w:val="24"/>
              </w:rPr>
              <w:t>适用情形</w:t>
            </w:r>
          </w:p>
        </w:tc>
        <w:tc>
          <w:tcPr>
            <w:tcW w:w="2099" w:type="dxa"/>
            <w:vAlign w:val="top"/>
          </w:tcPr>
          <w:p>
            <w:pPr>
              <w:spacing w:before="210" w:line="219" w:lineRule="auto"/>
              <w:ind w:left="349"/>
              <w:rPr>
                <w:rFonts w:hint="eastAsia" w:ascii="黑体" w:hAnsi="黑体" w:eastAsia="黑体" w:cs="黑体"/>
                <w:b w:val="0"/>
                <w:bCs w:val="0"/>
                <w:sz w:val="24"/>
                <w:szCs w:val="24"/>
              </w:rPr>
            </w:pPr>
            <w:r>
              <w:rPr>
                <w:rFonts w:hint="eastAsia" w:ascii="黑体" w:hAnsi="黑体" w:eastAsia="黑体" w:cs="黑体"/>
                <w:b w:val="0"/>
                <w:bCs w:val="0"/>
                <w:spacing w:val="-4"/>
                <w:sz w:val="24"/>
                <w:szCs w:val="24"/>
              </w:rPr>
              <w:t>减轻处罚依据</w:t>
            </w:r>
          </w:p>
        </w:tc>
        <w:tc>
          <w:tcPr>
            <w:tcW w:w="1689" w:type="dxa"/>
            <w:vAlign w:val="top"/>
          </w:tcPr>
          <w:p>
            <w:pPr>
              <w:spacing w:before="209" w:line="218" w:lineRule="auto"/>
              <w:ind w:left="360"/>
              <w:rPr>
                <w:rFonts w:hint="eastAsia" w:ascii="黑体" w:hAnsi="黑体" w:eastAsia="黑体" w:cs="黑体"/>
                <w:b w:val="0"/>
                <w:bCs w:val="0"/>
                <w:sz w:val="24"/>
                <w:szCs w:val="24"/>
              </w:rPr>
            </w:pPr>
            <w:r>
              <w:rPr>
                <w:rFonts w:hint="eastAsia" w:ascii="黑体" w:hAnsi="黑体" w:eastAsia="黑体" w:cs="黑体"/>
                <w:b w:val="0"/>
                <w:bCs w:val="0"/>
                <w:spacing w:val="-5"/>
                <w:sz w:val="24"/>
                <w:szCs w:val="24"/>
              </w:rPr>
              <w:t>裁量幅度</w:t>
            </w:r>
          </w:p>
        </w:tc>
        <w:tc>
          <w:tcPr>
            <w:tcW w:w="1009" w:type="dxa"/>
            <w:vAlign w:val="top"/>
          </w:tcPr>
          <w:p>
            <w:pPr>
              <w:spacing w:before="62" w:line="213" w:lineRule="auto"/>
              <w:ind w:left="121" w:right="76" w:firstLine="90"/>
              <w:rPr>
                <w:rFonts w:hint="eastAsia" w:ascii="黑体" w:hAnsi="黑体" w:eastAsia="黑体" w:cs="黑体"/>
                <w:b w:val="0"/>
                <w:bCs w:val="0"/>
                <w:sz w:val="24"/>
                <w:szCs w:val="24"/>
              </w:rPr>
            </w:pPr>
            <w:r>
              <w:rPr>
                <w:rFonts w:hint="eastAsia" w:ascii="黑体" w:hAnsi="黑体" w:eastAsia="黑体" w:cs="黑体"/>
                <w:b w:val="0"/>
                <w:bCs w:val="0"/>
                <w:spacing w:val="-6"/>
                <w:sz w:val="24"/>
                <w:szCs w:val="24"/>
              </w:rPr>
              <w:t>配套监管措施</w:t>
            </w:r>
          </w:p>
        </w:tc>
        <w:tc>
          <w:tcPr>
            <w:tcW w:w="994" w:type="dxa"/>
            <w:vAlign w:val="top"/>
          </w:tcPr>
          <w:p>
            <w:pPr>
              <w:spacing w:before="212" w:line="221" w:lineRule="auto"/>
              <w:ind w:left="252"/>
              <w:rPr>
                <w:rFonts w:hint="eastAsia" w:ascii="黑体" w:hAnsi="黑体" w:eastAsia="黑体" w:cs="黑体"/>
                <w:b w:val="0"/>
                <w:bCs w:val="0"/>
                <w:sz w:val="24"/>
                <w:szCs w:val="24"/>
              </w:rPr>
            </w:pPr>
            <w:r>
              <w:rPr>
                <w:rFonts w:hint="eastAsia" w:ascii="黑体" w:hAnsi="黑体" w:eastAsia="黑体" w:cs="黑体"/>
                <w:b w:val="0"/>
                <w:bCs w:val="0"/>
                <w:spacing w:val="-6"/>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7" w:hRule="atLeast"/>
        </w:trPr>
        <w:tc>
          <w:tcPr>
            <w:tcW w:w="395"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5</w:t>
            </w:r>
          </w:p>
        </w:tc>
        <w:tc>
          <w:tcPr>
            <w:tcW w:w="155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出版物使用非法定计量单位的行政处罚</w:t>
            </w:r>
          </w:p>
        </w:tc>
        <w:tc>
          <w:tcPr>
            <w:tcW w:w="3917"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《中华人民共和国计量法实施细则》第四十条：违反本细则第二条规定，使用非法定计量单位的，责令其改正；属出版物的，责令其停止销售，可并处1000元以下的罚款。</w:t>
            </w:r>
          </w:p>
        </w:tc>
        <w:tc>
          <w:tcPr>
            <w:tcW w:w="3058"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具有以下情形之一：1.初次违法；2.主动改正；3.主动消除或者减轻违法行为危害后果的；4.配合市场监管部门调查；5.行政处罚裁量基准明确的其他可以减轻处罚的情形。</w:t>
            </w:r>
          </w:p>
        </w:tc>
        <w:tc>
          <w:tcPr>
            <w:tcW w:w="209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《行政处罚法》第五条第二款：设定和实施行政处罚必须以事实为依据，与违法行为的事实、性质、情节以及社会危害程度相当。</w:t>
            </w:r>
          </w:p>
        </w:tc>
        <w:tc>
          <w:tcPr>
            <w:tcW w:w="168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责令停止销售，不予罚款。</w:t>
            </w:r>
          </w:p>
        </w:tc>
        <w:tc>
          <w:tcPr>
            <w:tcW w:w="100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批评教育、告诫约谈。</w:t>
            </w:r>
          </w:p>
        </w:tc>
        <w:tc>
          <w:tcPr>
            <w:tcW w:w="994" w:type="dxa"/>
            <w:vAlign w:val="center"/>
          </w:tcPr>
          <w:p>
            <w:pPr>
              <w:jc w:val="both"/>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7" w:hRule="atLeast"/>
        </w:trPr>
        <w:tc>
          <w:tcPr>
            <w:tcW w:w="395"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6</w:t>
            </w:r>
          </w:p>
        </w:tc>
        <w:tc>
          <w:tcPr>
            <w:tcW w:w="155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对违反明码标价规定的行为的行政处罚</w:t>
            </w:r>
          </w:p>
        </w:tc>
        <w:tc>
          <w:tcPr>
            <w:tcW w:w="3917"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《中华人民共和国价格法》第四十二条：经营者违反明码标价规定的，责令改正，没收违法所得，可以并处五千元以下的罚款。</w:t>
            </w:r>
          </w:p>
        </w:tc>
        <w:tc>
          <w:tcPr>
            <w:tcW w:w="3058"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违法主体为个体工商户，且存在以下情形之一：1.初次违法；2.主动改正；3.主动消除或者减轻违法行为危害后果的；4.配合市场监管部门调查；5.行政处罚裁量基准明确的其他可以减轻处罚的情形。</w:t>
            </w:r>
          </w:p>
        </w:tc>
        <w:tc>
          <w:tcPr>
            <w:tcW w:w="209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《行政处罚法》第五条第二款：设定和实施行政处罚必须以事实为依据，与违法行为的事实、性质、情节以及社会危害程度相当。</w:t>
            </w:r>
          </w:p>
        </w:tc>
        <w:tc>
          <w:tcPr>
            <w:tcW w:w="168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有违法所得，没收违法所得；不予罚款。</w:t>
            </w:r>
          </w:p>
        </w:tc>
        <w:tc>
          <w:tcPr>
            <w:tcW w:w="100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批评教育、告诫约谈。</w:t>
            </w:r>
          </w:p>
        </w:tc>
        <w:tc>
          <w:tcPr>
            <w:tcW w:w="994" w:type="dxa"/>
            <w:vAlign w:val="center"/>
          </w:tcPr>
          <w:p>
            <w:pPr>
              <w:jc w:val="both"/>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2" w:hRule="atLeast"/>
        </w:trPr>
        <w:tc>
          <w:tcPr>
            <w:tcW w:w="395"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7</w:t>
            </w:r>
          </w:p>
        </w:tc>
        <w:tc>
          <w:tcPr>
            <w:tcW w:w="155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列入目录的产品未经认证,擅自出厂、销售、进口或者在其他经营活动中使用的处罚</w:t>
            </w:r>
          </w:p>
        </w:tc>
        <w:tc>
          <w:tcPr>
            <w:tcW w:w="3917"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《中华人民共和国认证认可条例》第六十六条：列入目录的产品未经认证，擅自出厂、销售、进口或者在其他经营活动中使用的，责令改正，处5万元以上20万元以下的罚款，有违法所得的，没收违法所得。</w:t>
            </w:r>
          </w:p>
        </w:tc>
        <w:tc>
          <w:tcPr>
            <w:tcW w:w="3058"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销售或者在其他经营活动中使用，货值金额1万元以下，且存在以下情形之一：1.初次违法；2.主动改正；3.主动消除或者减轻违法行为危害后果的；4.配合市场监管部门调查；5.行政处罚裁量基准明确的其他可以减轻处罚的情形。</w:t>
            </w:r>
          </w:p>
        </w:tc>
        <w:tc>
          <w:tcPr>
            <w:tcW w:w="209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《行政处罚法》第五条第二款：设定和实施行政处罚必须以事实为依据，与违法行为的事实、性质、情节以及社会危害程度相当。</w:t>
            </w:r>
          </w:p>
        </w:tc>
        <w:tc>
          <w:tcPr>
            <w:tcW w:w="168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罚款数额为2万元以下。</w:t>
            </w:r>
          </w:p>
        </w:tc>
        <w:tc>
          <w:tcPr>
            <w:tcW w:w="1009" w:type="dxa"/>
            <w:vAlign w:val="center"/>
          </w:tcPr>
          <w:p>
            <w:pPr>
              <w:spacing w:before="75" w:line="210" w:lineRule="auto"/>
              <w:ind w:left="114" w:right="48"/>
              <w:jc w:val="both"/>
              <w:rPr>
                <w:rFonts w:ascii="宋体" w:hAnsi="宋体" w:eastAsia="宋体" w:cs="宋体"/>
                <w:spacing w:val="25"/>
                <w:sz w:val="21"/>
                <w:szCs w:val="21"/>
              </w:rPr>
            </w:pPr>
            <w:r>
              <w:rPr>
                <w:rFonts w:ascii="宋体" w:hAnsi="宋体" w:eastAsia="宋体" w:cs="宋体"/>
                <w:spacing w:val="25"/>
                <w:sz w:val="21"/>
                <w:szCs w:val="21"/>
              </w:rPr>
              <w:t>批评教育、告诫约谈。</w:t>
            </w:r>
          </w:p>
        </w:tc>
        <w:tc>
          <w:tcPr>
            <w:tcW w:w="994" w:type="dxa"/>
            <w:vAlign w:val="center"/>
          </w:tcPr>
          <w:p>
            <w:pPr>
              <w:jc w:val="both"/>
              <w:rPr>
                <w:rFonts w:ascii="Arial"/>
                <w:sz w:val="21"/>
              </w:rPr>
            </w:pPr>
          </w:p>
        </w:tc>
      </w:tr>
    </w:tbl>
    <w:p>
      <w:pPr>
        <w:rPr>
          <w:rFonts w:ascii="Arial"/>
          <w:sz w:val="21"/>
        </w:rPr>
      </w:pPr>
    </w:p>
    <w:p>
      <w:pPr>
        <w:sectPr>
          <w:pgSz w:w="16840" w:h="11900"/>
          <w:pgMar w:top="1011" w:right="1065" w:bottom="400" w:left="621" w:header="0" w:footer="850" w:gutter="0"/>
          <w:pgNumType w:fmt="decimal"/>
          <w:cols w:space="720" w:num="1"/>
        </w:sectPr>
      </w:pPr>
    </w:p>
    <w:p>
      <w:r>
        <mc:AlternateContent>
          <mc:Choice Requires="wps">
            <w:drawing>
              <wp:anchor distT="0" distB="0" distL="114300" distR="114300" simplePos="0" relativeHeight="251661312" behindDoc="0" locked="0" layoutInCell="0" allowOverlap="1">
                <wp:simplePos x="0" y="0"/>
                <wp:positionH relativeFrom="page">
                  <wp:posOffset>365125</wp:posOffset>
                </wp:positionH>
                <wp:positionV relativeFrom="page">
                  <wp:posOffset>1422400</wp:posOffset>
                </wp:positionV>
                <wp:extent cx="184785" cy="2457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4785" cy="245745"/>
                        </a:xfrm>
                        <a:prstGeom prst="rect">
                          <a:avLst/>
                        </a:prstGeom>
                        <a:noFill/>
                        <a:ln>
                          <a:noFill/>
                        </a:ln>
                      </wps:spPr>
                      <wps:txbx>
                        <w:txbxContent>
                          <w:p>
                            <w:pPr>
                              <w:spacing w:before="20" w:line="180" w:lineRule="auto"/>
                              <w:rPr>
                                <w:rFonts w:ascii="宋体" w:hAnsi="宋体" w:eastAsia="宋体" w:cs="宋体"/>
                                <w:sz w:val="25"/>
                                <w:szCs w:val="25"/>
                              </w:rPr>
                            </w:pPr>
                          </w:p>
                        </w:txbxContent>
                      </wps:txbx>
                      <wps:bodyPr vert="eaVert" lIns="0" tIns="0" rIns="0" bIns="0" upright="1"/>
                    </wps:wsp>
                  </a:graphicData>
                </a:graphic>
              </wp:anchor>
            </w:drawing>
          </mc:Choice>
          <mc:Fallback>
            <w:pict>
              <v:shape id="_x0000_s1026" o:spid="_x0000_s1026" o:spt="202" type="#_x0000_t202" style="position:absolute;left:0pt;margin-left:28.75pt;margin-top:112pt;height:19.35pt;width:14.55pt;mso-position-horizontal-relative:page;mso-position-vertical-relative:page;z-index:251661312;mso-width-relative:page;mso-height-relative:page;" filled="f" stroked="f" coordsize="21600,21600" o:allowincell="f" o:gfxdata="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EYv2J1gAAAAkBAAAPAAAAAAAAAAEAIAAAACIAAABkcnMvZG93bnJldi54&#10;bWxQSwECFAAUAAAACACHTuJA7/4PpsMBAACBAwAADgAAAAAAAAABACAAAAAlAQAAZHJzL2Uyb0Rv&#10;Yy54bWxQSwUGAAAAAAYABgBZAQAAWgUAAAAA&#10;">
                <v:fill on="f" focussize="0,0"/>
                <v:stroke on="f"/>
                <v:imagedata o:title=""/>
                <o:lock v:ext="edit" aspectratio="f"/>
                <v:textbox inset="0mm,0mm,0mm,0mm" style="layout-flow:vertical-ideographic;">
                  <w:txbxContent>
                    <w:p>
                      <w:pPr>
                        <w:spacing w:before="20" w:line="180" w:lineRule="auto"/>
                        <w:rPr>
                          <w:rFonts w:ascii="宋体" w:hAnsi="宋体" w:eastAsia="宋体" w:cs="宋体"/>
                          <w:sz w:val="25"/>
                          <w:szCs w:val="25"/>
                        </w:rPr>
                      </w:pPr>
                    </w:p>
                  </w:txbxContent>
                </v:textbox>
              </v:shape>
            </w:pict>
          </mc:Fallback>
        </mc:AlternateContent>
      </w:r>
    </w:p>
    <w:p/>
    <w:p>
      <w:pPr>
        <w:spacing w:line="50" w:lineRule="exact"/>
      </w:pPr>
    </w:p>
    <w:tbl>
      <w:tblPr>
        <w:tblStyle w:val="8"/>
        <w:tblW w:w="14710" w:type="dxa"/>
        <w:tblInd w:w="3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5"/>
        <w:gridCol w:w="1569"/>
        <w:gridCol w:w="3907"/>
        <w:gridCol w:w="3058"/>
        <w:gridCol w:w="2089"/>
        <w:gridCol w:w="1699"/>
        <w:gridCol w:w="1009"/>
        <w:gridCol w:w="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385" w:type="dxa"/>
            <w:textDirection w:val="tbRlV"/>
            <w:vAlign w:val="top"/>
          </w:tcPr>
          <w:p>
            <w:pPr>
              <w:spacing w:before="70" w:line="217" w:lineRule="auto"/>
              <w:ind w:left="72"/>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1569" w:type="dxa"/>
            <w:vAlign w:val="top"/>
          </w:tcPr>
          <w:p>
            <w:pPr>
              <w:spacing w:before="212" w:line="220" w:lineRule="auto"/>
              <w:ind w:left="283"/>
              <w:rPr>
                <w:rFonts w:hint="eastAsia" w:ascii="黑体" w:hAnsi="黑体" w:eastAsia="黑体" w:cs="黑体"/>
                <w:b w:val="0"/>
                <w:bCs w:val="0"/>
                <w:sz w:val="24"/>
                <w:szCs w:val="24"/>
              </w:rPr>
            </w:pPr>
            <w:r>
              <w:rPr>
                <w:rFonts w:hint="eastAsia" w:ascii="黑体" w:hAnsi="黑体" w:eastAsia="黑体" w:cs="黑体"/>
                <w:b w:val="0"/>
                <w:bCs w:val="0"/>
                <w:spacing w:val="-5"/>
                <w:sz w:val="24"/>
                <w:szCs w:val="24"/>
              </w:rPr>
              <w:t>事项名称</w:t>
            </w:r>
          </w:p>
        </w:tc>
        <w:tc>
          <w:tcPr>
            <w:tcW w:w="3907" w:type="dxa"/>
            <w:vAlign w:val="top"/>
          </w:tcPr>
          <w:p>
            <w:pPr>
              <w:spacing w:before="210" w:line="219" w:lineRule="auto"/>
              <w:ind w:left="1484"/>
              <w:rPr>
                <w:rFonts w:hint="eastAsia" w:ascii="黑体" w:hAnsi="黑体" w:eastAsia="黑体" w:cs="黑体"/>
                <w:b w:val="0"/>
                <w:bCs w:val="0"/>
                <w:sz w:val="24"/>
                <w:szCs w:val="24"/>
              </w:rPr>
            </w:pPr>
            <w:r>
              <w:rPr>
                <w:rFonts w:hint="eastAsia" w:ascii="黑体" w:hAnsi="黑体" w:eastAsia="黑体" w:cs="黑体"/>
                <w:b w:val="0"/>
                <w:bCs w:val="0"/>
                <w:spacing w:val="-1"/>
                <w:sz w:val="24"/>
                <w:szCs w:val="24"/>
              </w:rPr>
              <w:t>设定依据</w:t>
            </w:r>
          </w:p>
        </w:tc>
        <w:tc>
          <w:tcPr>
            <w:tcW w:w="3058" w:type="dxa"/>
            <w:vAlign w:val="top"/>
          </w:tcPr>
          <w:p>
            <w:pPr>
              <w:spacing w:before="212" w:line="220" w:lineRule="auto"/>
              <w:ind w:left="1037"/>
              <w:rPr>
                <w:rFonts w:hint="eastAsia" w:ascii="黑体" w:hAnsi="黑体" w:eastAsia="黑体" w:cs="黑体"/>
                <w:b w:val="0"/>
                <w:bCs w:val="0"/>
                <w:sz w:val="24"/>
                <w:szCs w:val="24"/>
              </w:rPr>
            </w:pPr>
            <w:r>
              <w:rPr>
                <w:rFonts w:hint="eastAsia" w:ascii="黑体" w:hAnsi="黑体" w:eastAsia="黑体" w:cs="黑体"/>
                <w:b w:val="0"/>
                <w:bCs w:val="0"/>
                <w:spacing w:val="8"/>
                <w:sz w:val="24"/>
                <w:szCs w:val="24"/>
              </w:rPr>
              <w:t>适用情形</w:t>
            </w:r>
          </w:p>
        </w:tc>
        <w:tc>
          <w:tcPr>
            <w:tcW w:w="2089" w:type="dxa"/>
            <w:vAlign w:val="top"/>
          </w:tcPr>
          <w:p>
            <w:pPr>
              <w:spacing w:before="210" w:line="219" w:lineRule="auto"/>
              <w:ind w:left="349"/>
              <w:rPr>
                <w:rFonts w:hint="eastAsia" w:ascii="黑体" w:hAnsi="黑体" w:eastAsia="黑体" w:cs="黑体"/>
                <w:b w:val="0"/>
                <w:bCs w:val="0"/>
                <w:sz w:val="24"/>
                <w:szCs w:val="24"/>
              </w:rPr>
            </w:pPr>
            <w:r>
              <w:rPr>
                <w:rFonts w:hint="eastAsia" w:ascii="黑体" w:hAnsi="黑体" w:eastAsia="黑体" w:cs="黑体"/>
                <w:b w:val="0"/>
                <w:bCs w:val="0"/>
                <w:spacing w:val="-4"/>
                <w:sz w:val="24"/>
                <w:szCs w:val="24"/>
              </w:rPr>
              <w:t>减轻处罚依据</w:t>
            </w:r>
          </w:p>
        </w:tc>
        <w:tc>
          <w:tcPr>
            <w:tcW w:w="1699" w:type="dxa"/>
            <w:vAlign w:val="top"/>
          </w:tcPr>
          <w:p>
            <w:pPr>
              <w:spacing w:before="209" w:line="218" w:lineRule="auto"/>
              <w:ind w:left="350"/>
              <w:rPr>
                <w:rFonts w:hint="eastAsia" w:ascii="黑体" w:hAnsi="黑体" w:eastAsia="黑体" w:cs="黑体"/>
                <w:b w:val="0"/>
                <w:bCs w:val="0"/>
                <w:sz w:val="24"/>
                <w:szCs w:val="24"/>
              </w:rPr>
            </w:pPr>
            <w:r>
              <w:rPr>
                <w:rFonts w:hint="eastAsia" w:ascii="黑体" w:hAnsi="黑体" w:eastAsia="黑体" w:cs="黑体"/>
                <w:b w:val="0"/>
                <w:bCs w:val="0"/>
                <w:spacing w:val="-5"/>
                <w:sz w:val="24"/>
                <w:szCs w:val="24"/>
              </w:rPr>
              <w:t>裁量幅度</w:t>
            </w:r>
          </w:p>
        </w:tc>
        <w:tc>
          <w:tcPr>
            <w:tcW w:w="1009" w:type="dxa"/>
            <w:vAlign w:val="top"/>
          </w:tcPr>
          <w:p>
            <w:pPr>
              <w:spacing w:before="61" w:line="221" w:lineRule="auto"/>
              <w:ind w:left="141" w:right="146"/>
              <w:rPr>
                <w:rFonts w:hint="eastAsia" w:ascii="黑体" w:hAnsi="黑体" w:eastAsia="黑体" w:cs="黑体"/>
                <w:b w:val="0"/>
                <w:bCs w:val="0"/>
                <w:sz w:val="24"/>
                <w:szCs w:val="24"/>
              </w:rPr>
            </w:pPr>
            <w:r>
              <w:rPr>
                <w:rFonts w:hint="eastAsia" w:ascii="黑体" w:hAnsi="黑体" w:eastAsia="黑体" w:cs="黑体"/>
                <w:b w:val="0"/>
                <w:bCs w:val="0"/>
                <w:spacing w:val="-6"/>
                <w:sz w:val="24"/>
                <w:szCs w:val="24"/>
              </w:rPr>
              <w:t>配套监管措施</w:t>
            </w:r>
          </w:p>
        </w:tc>
        <w:tc>
          <w:tcPr>
            <w:tcW w:w="994" w:type="dxa"/>
            <w:vAlign w:val="top"/>
          </w:tcPr>
          <w:p>
            <w:pPr>
              <w:spacing w:before="212" w:line="221" w:lineRule="auto"/>
              <w:ind w:left="122"/>
              <w:rPr>
                <w:rFonts w:hint="eastAsia" w:ascii="黑体" w:hAnsi="黑体" w:eastAsia="黑体" w:cs="黑体"/>
                <w:b w:val="0"/>
                <w:bCs w:val="0"/>
                <w:sz w:val="24"/>
                <w:szCs w:val="24"/>
              </w:rPr>
            </w:pPr>
            <w:r>
              <w:rPr>
                <w:rFonts w:hint="eastAsia" w:ascii="黑体" w:hAnsi="黑体" w:eastAsia="黑体" w:cs="黑体"/>
                <w:b w:val="0"/>
                <w:bCs w:val="0"/>
                <w:spacing w:val="-6"/>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4" w:hRule="atLeast"/>
        </w:trPr>
        <w:tc>
          <w:tcPr>
            <w:tcW w:w="385" w:type="dxa"/>
            <w:tcBorders>
              <w:bottom w:val="nil"/>
            </w:tcBorders>
            <w:vAlign w:val="center"/>
          </w:tcPr>
          <w:p>
            <w:pPr>
              <w:spacing w:before="78" w:line="183" w:lineRule="auto"/>
              <w:ind w:left="125"/>
              <w:jc w:val="both"/>
              <w:rPr>
                <w:rFonts w:hint="eastAsia" w:ascii="宋体" w:hAnsi="宋体" w:eastAsia="宋体" w:cs="宋体"/>
                <w:sz w:val="21"/>
                <w:szCs w:val="21"/>
              </w:rPr>
            </w:pPr>
            <w:r>
              <w:rPr>
                <w:rFonts w:hint="eastAsia" w:ascii="宋体" w:hAnsi="宋体" w:eastAsia="宋体" w:cs="宋体"/>
                <w:sz w:val="21"/>
                <w:szCs w:val="21"/>
              </w:rPr>
              <w:t>8</w:t>
            </w:r>
          </w:p>
        </w:tc>
        <w:tc>
          <w:tcPr>
            <w:tcW w:w="1569" w:type="dxa"/>
            <w:tcBorders>
              <w:bottom w:val="nil"/>
            </w:tcBorders>
            <w:vAlign w:val="center"/>
          </w:tcPr>
          <w:p>
            <w:pPr>
              <w:spacing w:before="75" w:line="210" w:lineRule="auto"/>
              <w:ind w:left="114" w:right="48"/>
              <w:jc w:val="both"/>
              <w:rPr>
                <w:rFonts w:hint="eastAsia" w:ascii="宋体" w:hAnsi="宋体" w:eastAsia="宋体" w:cs="宋体"/>
                <w:spacing w:val="25"/>
                <w:sz w:val="21"/>
                <w:szCs w:val="21"/>
              </w:rPr>
            </w:pPr>
            <w:r>
              <w:rPr>
                <w:rFonts w:hint="eastAsia" w:ascii="宋体" w:hAnsi="宋体" w:eastAsia="宋体" w:cs="宋体"/>
                <w:spacing w:val="25"/>
                <w:sz w:val="21"/>
                <w:szCs w:val="21"/>
              </w:rPr>
              <w:t>市场主体未按照规定期限公示或者报送年度报告的行政处罚</w:t>
            </w:r>
          </w:p>
        </w:tc>
        <w:tc>
          <w:tcPr>
            <w:tcW w:w="3907" w:type="dxa"/>
            <w:tcBorders>
              <w:bottom w:val="nil"/>
            </w:tcBorders>
            <w:vAlign w:val="center"/>
          </w:tcPr>
          <w:p>
            <w:pPr>
              <w:spacing w:before="75" w:line="210" w:lineRule="auto"/>
              <w:ind w:left="114" w:right="48"/>
              <w:jc w:val="both"/>
              <w:rPr>
                <w:rFonts w:hint="eastAsia" w:ascii="宋体" w:hAnsi="宋体" w:eastAsia="宋体" w:cs="宋体"/>
                <w:spacing w:val="25"/>
                <w:sz w:val="21"/>
                <w:szCs w:val="21"/>
              </w:rPr>
            </w:pPr>
            <w:r>
              <w:rPr>
                <w:rFonts w:hint="eastAsia" w:ascii="宋体" w:hAnsi="宋体" w:eastAsia="宋体" w:cs="宋体"/>
                <w:spacing w:val="25"/>
                <w:sz w:val="21"/>
                <w:szCs w:val="21"/>
              </w:rPr>
              <w:t>《中华人民共和国市场主体登记管理条例实施细则》第七十条：市场主体未按照法律、行政法规规定的期限公示或者报送年度报告的，由登记机关列入经营异常名录，可以处1万元以下的罚款。</w:t>
            </w:r>
          </w:p>
        </w:tc>
        <w:tc>
          <w:tcPr>
            <w:tcW w:w="3058" w:type="dxa"/>
            <w:tcBorders>
              <w:bottom w:val="nil"/>
            </w:tcBorders>
            <w:vAlign w:val="center"/>
          </w:tcPr>
          <w:p>
            <w:pPr>
              <w:spacing w:before="75" w:line="210" w:lineRule="auto"/>
              <w:ind w:left="114" w:right="48"/>
              <w:jc w:val="both"/>
              <w:rPr>
                <w:rFonts w:hint="eastAsia" w:ascii="宋体" w:hAnsi="宋体" w:eastAsia="宋体" w:cs="宋体"/>
                <w:spacing w:val="25"/>
                <w:sz w:val="21"/>
                <w:szCs w:val="21"/>
              </w:rPr>
            </w:pPr>
            <w:r>
              <w:rPr>
                <w:rFonts w:hint="eastAsia" w:ascii="宋体" w:hAnsi="宋体" w:eastAsia="宋体" w:cs="宋体"/>
                <w:spacing w:val="25"/>
                <w:sz w:val="21"/>
                <w:szCs w:val="21"/>
              </w:rPr>
              <w:t>年报法定截止日期起30日以内补报年报，且存在以下情形之一：1.初次违法并主动改正；2.配合市场监管部门调查；3.行政处罚裁量基准明确的其他可以减轻处罚的情形。</w:t>
            </w:r>
          </w:p>
        </w:tc>
        <w:tc>
          <w:tcPr>
            <w:tcW w:w="2089" w:type="dxa"/>
            <w:tcBorders>
              <w:bottom w:val="nil"/>
            </w:tcBorders>
            <w:vAlign w:val="center"/>
          </w:tcPr>
          <w:p>
            <w:pPr>
              <w:spacing w:before="75" w:line="210" w:lineRule="auto"/>
              <w:ind w:left="114" w:right="48"/>
              <w:jc w:val="both"/>
              <w:rPr>
                <w:rFonts w:hint="eastAsia" w:ascii="宋体" w:hAnsi="宋体" w:eastAsia="宋体" w:cs="宋体"/>
                <w:spacing w:val="25"/>
                <w:sz w:val="21"/>
                <w:szCs w:val="21"/>
              </w:rPr>
            </w:pPr>
            <w:r>
              <w:rPr>
                <w:rFonts w:hint="eastAsia" w:ascii="宋体" w:hAnsi="宋体" w:eastAsia="宋体" w:cs="宋体"/>
                <w:spacing w:val="25"/>
                <w:sz w:val="21"/>
                <w:szCs w:val="21"/>
              </w:rPr>
              <w:t>《行政处罚法》第五条第二款：设定和实施行政处罚必须以事实为依据，与违法行为的事实、性质、情节以及社会危害程度相当。</w:t>
            </w:r>
          </w:p>
        </w:tc>
        <w:tc>
          <w:tcPr>
            <w:tcW w:w="1699" w:type="dxa"/>
            <w:tcBorders>
              <w:bottom w:val="nil"/>
            </w:tcBorders>
            <w:vAlign w:val="center"/>
          </w:tcPr>
          <w:p>
            <w:pPr>
              <w:spacing w:before="75" w:line="210" w:lineRule="auto"/>
              <w:ind w:left="114" w:right="48"/>
              <w:jc w:val="both"/>
              <w:rPr>
                <w:rFonts w:hint="eastAsia" w:ascii="宋体" w:hAnsi="宋体" w:eastAsia="宋体" w:cs="宋体"/>
                <w:spacing w:val="25"/>
                <w:sz w:val="21"/>
                <w:szCs w:val="21"/>
              </w:rPr>
            </w:pPr>
            <w:r>
              <w:rPr>
                <w:rFonts w:hint="eastAsia" w:ascii="宋体" w:hAnsi="宋体" w:eastAsia="宋体" w:cs="宋体"/>
                <w:spacing w:val="25"/>
                <w:sz w:val="21"/>
                <w:szCs w:val="21"/>
              </w:rPr>
              <w:t>不予罚款。</w:t>
            </w:r>
          </w:p>
        </w:tc>
        <w:tc>
          <w:tcPr>
            <w:tcW w:w="1009" w:type="dxa"/>
            <w:tcBorders>
              <w:bottom w:val="nil"/>
            </w:tcBorders>
            <w:vAlign w:val="center"/>
          </w:tcPr>
          <w:p>
            <w:pPr>
              <w:spacing w:before="75" w:line="210" w:lineRule="auto"/>
              <w:ind w:left="114" w:right="48"/>
              <w:jc w:val="both"/>
              <w:rPr>
                <w:rFonts w:hint="eastAsia" w:ascii="宋体" w:hAnsi="宋体" w:eastAsia="宋体" w:cs="宋体"/>
                <w:spacing w:val="25"/>
                <w:sz w:val="21"/>
                <w:szCs w:val="21"/>
              </w:rPr>
            </w:pPr>
            <w:r>
              <w:rPr>
                <w:rFonts w:hint="eastAsia" w:ascii="宋体" w:hAnsi="宋体" w:eastAsia="宋体" w:cs="宋体"/>
                <w:spacing w:val="25"/>
                <w:sz w:val="21"/>
                <w:szCs w:val="21"/>
              </w:rPr>
              <w:t>批评教育、告诫约谈。</w:t>
            </w:r>
          </w:p>
        </w:tc>
        <w:tc>
          <w:tcPr>
            <w:tcW w:w="994" w:type="dxa"/>
            <w:vAlign w:val="center"/>
          </w:tcPr>
          <w:p>
            <w:pPr>
              <w:spacing w:before="75" w:line="210" w:lineRule="auto"/>
              <w:ind w:left="114" w:right="48"/>
              <w:jc w:val="both"/>
              <w:rPr>
                <w:rFonts w:hint="eastAsia" w:ascii="宋体" w:hAnsi="宋体" w:eastAsia="宋体" w:cs="宋体"/>
                <w:spacing w:val="25"/>
                <w:sz w:val="21"/>
                <w:szCs w:val="21"/>
                <w:lang w:val="en-US" w:eastAsia="zh-CN"/>
              </w:rPr>
            </w:pPr>
            <w:r>
              <w:rPr>
                <w:rFonts w:hint="eastAsia" w:ascii="宋体" w:hAnsi="宋体" w:eastAsia="宋体" w:cs="宋体"/>
                <w:spacing w:val="25"/>
                <w:sz w:val="21"/>
                <w:szCs w:val="21"/>
              </w:rPr>
              <w:t>对企业因改制等原因，不再从事生产经营活动，仅</w:t>
            </w:r>
            <w:r>
              <w:rPr>
                <w:rFonts w:hint="eastAsia" w:ascii="宋体" w:hAnsi="宋体" w:eastAsia="宋体" w:cs="宋体"/>
                <w:spacing w:val="25"/>
                <w:sz w:val="21"/>
                <w:szCs w:val="21"/>
                <w:lang w:val="en-US" w:eastAsia="zh-CN"/>
              </w:rPr>
              <w:t>为缴纳职工养老金等原因，不办理注销清算及注销手续的，经查证属实，可不予罚款。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2" w:hRule="atLeast"/>
        </w:trPr>
        <w:tc>
          <w:tcPr>
            <w:tcW w:w="385" w:type="dxa"/>
            <w:vAlign w:val="center"/>
          </w:tcPr>
          <w:p>
            <w:pPr>
              <w:spacing w:before="78" w:line="183" w:lineRule="auto"/>
              <w:ind w:left="125"/>
              <w:jc w:val="both"/>
              <w:rPr>
                <w:rFonts w:hint="eastAsia" w:ascii="宋体" w:hAnsi="宋体" w:eastAsia="宋体" w:cs="宋体"/>
                <w:sz w:val="21"/>
                <w:szCs w:val="21"/>
              </w:rPr>
            </w:pPr>
            <w:r>
              <w:rPr>
                <w:rFonts w:hint="eastAsia" w:ascii="宋体" w:hAnsi="宋体" w:eastAsia="宋体" w:cs="宋体"/>
                <w:sz w:val="21"/>
                <w:szCs w:val="21"/>
              </w:rPr>
              <w:t>9</w:t>
            </w:r>
          </w:p>
        </w:tc>
        <w:tc>
          <w:tcPr>
            <w:tcW w:w="1569" w:type="dxa"/>
            <w:vAlign w:val="center"/>
          </w:tcPr>
          <w:p>
            <w:pPr>
              <w:spacing w:before="75" w:line="210" w:lineRule="auto"/>
              <w:ind w:left="114" w:right="48"/>
              <w:jc w:val="both"/>
              <w:rPr>
                <w:rFonts w:hint="eastAsia" w:ascii="宋体" w:hAnsi="宋体" w:eastAsia="宋体" w:cs="宋体"/>
                <w:spacing w:val="25"/>
                <w:sz w:val="21"/>
                <w:szCs w:val="21"/>
              </w:rPr>
            </w:pPr>
            <w:r>
              <w:rPr>
                <w:rFonts w:hint="eastAsia" w:ascii="宋体" w:hAnsi="宋体" w:eastAsia="宋体" w:cs="宋体"/>
                <w:spacing w:val="25"/>
                <w:sz w:val="21"/>
                <w:szCs w:val="21"/>
              </w:rPr>
              <w:t>取得生产许可的企业未能持续保持取得生产许可的规定条件的处罚</w:t>
            </w:r>
          </w:p>
        </w:tc>
        <w:tc>
          <w:tcPr>
            <w:tcW w:w="3907" w:type="dxa"/>
            <w:vAlign w:val="center"/>
          </w:tcPr>
          <w:p>
            <w:pPr>
              <w:spacing w:before="75" w:line="210" w:lineRule="auto"/>
              <w:ind w:left="114" w:right="48"/>
              <w:jc w:val="both"/>
              <w:rPr>
                <w:rFonts w:hint="eastAsia" w:ascii="宋体" w:hAnsi="宋体" w:eastAsia="宋体" w:cs="宋体"/>
                <w:spacing w:val="25"/>
                <w:sz w:val="21"/>
                <w:szCs w:val="21"/>
              </w:rPr>
            </w:pPr>
            <w:r>
              <w:rPr>
                <w:rFonts w:hint="eastAsia" w:ascii="宋体" w:hAnsi="宋体" w:eastAsia="宋体" w:cs="宋体"/>
                <w:spacing w:val="25"/>
                <w:sz w:val="21"/>
                <w:szCs w:val="21"/>
              </w:rPr>
              <w:t>《中华人民共和国工业产品生产许可证管理条例实施办法》第四十九条：违反本办法第四十六条规定，取得生产许可的企业未能持续保持取得生产许可的规定条件的，责令改正，处1万元以上3万元以下罚款。</w:t>
            </w:r>
          </w:p>
        </w:tc>
        <w:tc>
          <w:tcPr>
            <w:tcW w:w="3058" w:type="dxa"/>
            <w:vAlign w:val="center"/>
          </w:tcPr>
          <w:p>
            <w:pPr>
              <w:spacing w:before="75" w:line="210" w:lineRule="auto"/>
              <w:ind w:left="114" w:right="48"/>
              <w:jc w:val="both"/>
              <w:rPr>
                <w:rFonts w:hint="eastAsia" w:ascii="宋体" w:hAnsi="宋体" w:eastAsia="宋体" w:cs="宋体"/>
                <w:spacing w:val="25"/>
                <w:sz w:val="21"/>
                <w:szCs w:val="21"/>
              </w:rPr>
            </w:pPr>
            <w:r>
              <w:rPr>
                <w:rFonts w:hint="eastAsia" w:ascii="宋体" w:hAnsi="宋体" w:eastAsia="宋体" w:cs="宋体"/>
                <w:spacing w:val="25"/>
                <w:sz w:val="21"/>
                <w:szCs w:val="21"/>
              </w:rPr>
              <w:t>产品经检验合格，且存在以下情形之一：1.初次违法；2.主动改正；3.主动消除或者减轻违法行为危害后果的；4.配合市场监管部门调查；5.行政处罚裁量基准明确的其他可以减轻处罚的情形。</w:t>
            </w:r>
          </w:p>
        </w:tc>
        <w:tc>
          <w:tcPr>
            <w:tcW w:w="2089" w:type="dxa"/>
            <w:vAlign w:val="center"/>
          </w:tcPr>
          <w:p>
            <w:pPr>
              <w:spacing w:before="75" w:line="210" w:lineRule="auto"/>
              <w:ind w:left="114" w:right="48"/>
              <w:jc w:val="both"/>
              <w:rPr>
                <w:rFonts w:hint="eastAsia" w:ascii="宋体" w:hAnsi="宋体" w:eastAsia="宋体" w:cs="宋体"/>
                <w:spacing w:val="25"/>
                <w:sz w:val="21"/>
                <w:szCs w:val="21"/>
              </w:rPr>
            </w:pPr>
            <w:r>
              <w:rPr>
                <w:rFonts w:hint="eastAsia" w:ascii="宋体" w:hAnsi="宋体" w:eastAsia="宋体" w:cs="宋体"/>
                <w:spacing w:val="25"/>
                <w:sz w:val="21"/>
                <w:szCs w:val="21"/>
              </w:rPr>
              <w:t>《行政处罚法》第五条第二款：设定和实施行政处罚必须以事实为依据，与违法行为的事实、性质、情节以及社会危害程度相当。</w:t>
            </w:r>
          </w:p>
        </w:tc>
        <w:tc>
          <w:tcPr>
            <w:tcW w:w="1699" w:type="dxa"/>
            <w:vAlign w:val="center"/>
          </w:tcPr>
          <w:p>
            <w:pPr>
              <w:spacing w:before="75" w:line="210" w:lineRule="auto"/>
              <w:ind w:left="114" w:right="48"/>
              <w:jc w:val="both"/>
              <w:rPr>
                <w:rFonts w:hint="eastAsia" w:ascii="宋体" w:hAnsi="宋体" w:eastAsia="宋体" w:cs="宋体"/>
                <w:spacing w:val="25"/>
                <w:sz w:val="21"/>
                <w:szCs w:val="21"/>
              </w:rPr>
            </w:pPr>
            <w:r>
              <w:rPr>
                <w:rFonts w:hint="eastAsia" w:ascii="宋体" w:hAnsi="宋体" w:eastAsia="宋体" w:cs="宋体"/>
                <w:spacing w:val="25"/>
                <w:sz w:val="21"/>
                <w:szCs w:val="21"/>
              </w:rPr>
              <w:t>罚款数额为5000元以下。</w:t>
            </w:r>
          </w:p>
        </w:tc>
        <w:tc>
          <w:tcPr>
            <w:tcW w:w="1009" w:type="dxa"/>
            <w:vAlign w:val="center"/>
          </w:tcPr>
          <w:p>
            <w:pPr>
              <w:spacing w:before="75" w:line="210" w:lineRule="auto"/>
              <w:ind w:left="114" w:right="48"/>
              <w:jc w:val="both"/>
              <w:rPr>
                <w:rFonts w:hint="eastAsia" w:ascii="宋体" w:hAnsi="宋体" w:eastAsia="宋体" w:cs="宋体"/>
                <w:spacing w:val="25"/>
                <w:sz w:val="21"/>
                <w:szCs w:val="21"/>
              </w:rPr>
            </w:pPr>
            <w:r>
              <w:rPr>
                <w:rFonts w:hint="eastAsia" w:ascii="宋体" w:hAnsi="宋体" w:eastAsia="宋体" w:cs="宋体"/>
                <w:spacing w:val="25"/>
                <w:sz w:val="21"/>
                <w:szCs w:val="21"/>
              </w:rPr>
              <w:t>批评教育、告诫约谈。</w:t>
            </w:r>
          </w:p>
        </w:tc>
        <w:tc>
          <w:tcPr>
            <w:tcW w:w="994" w:type="dxa"/>
            <w:vAlign w:val="center"/>
          </w:tcPr>
          <w:p>
            <w:pPr>
              <w:spacing w:before="75" w:line="210" w:lineRule="auto"/>
              <w:ind w:left="114" w:right="48"/>
              <w:jc w:val="both"/>
              <w:rPr>
                <w:rFonts w:hint="eastAsia" w:ascii="宋体" w:hAnsi="宋体" w:eastAsia="宋体" w:cs="宋体"/>
                <w:spacing w:val="25"/>
                <w:sz w:val="21"/>
                <w:szCs w:val="21"/>
              </w:rPr>
            </w:pPr>
          </w:p>
        </w:tc>
      </w:tr>
    </w:tbl>
    <w:p>
      <w:pPr>
        <w:sectPr>
          <w:pgSz w:w="16840" w:h="11900"/>
          <w:pgMar w:top="1011" w:right="1104" w:bottom="400" w:left="674" w:header="0" w:footer="850" w:gutter="0"/>
          <w:pgNumType w:fmt="decimal"/>
          <w:cols w:space="720" w:num="1"/>
        </w:sectPr>
      </w:pPr>
    </w:p>
    <w:p>
      <w:pPr>
        <w:spacing w:before="85" w:line="226" w:lineRule="auto"/>
      </w:pPr>
    </w:p>
    <w:p/>
    <w:sectPr>
      <w:pgSz w:w="11906" w:h="16838"/>
      <w:pgMar w:top="2098" w:right="1474" w:bottom="1984" w:left="1587" w:header="851" w:footer="992" w:gutter="0"/>
      <w:pgNumType w:fmt="decimal"/>
      <w:cols w:space="0" w:num="1"/>
      <w:rtlGutter w:val="0"/>
      <w:docGrid w:type="linesAndChars" w:linePitch="57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zMzRlOGY3NTYyNzJhY2E1YWZjZjY5MzBiOTE4NDkifQ=="/>
  </w:docVars>
  <w:rsids>
    <w:rsidRoot w:val="4306005C"/>
    <w:rsid w:val="296F77E0"/>
    <w:rsid w:val="31584276"/>
    <w:rsid w:val="4306005C"/>
    <w:rsid w:val="59C363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3"/>
    <w:qFormat/>
    <w:uiPriority w:val="0"/>
    <w:pPr>
      <w:ind w:firstLine="720"/>
    </w:pPr>
  </w:style>
  <w:style w:type="paragraph" w:styleId="3">
    <w:name w:val="Body Text"/>
    <w:basedOn w:val="1"/>
    <w:next w:val="2"/>
    <w:qFormat/>
    <w:uiPriority w:val="1"/>
    <w:pPr>
      <w:widowControl w:val="0"/>
      <w:autoSpaceDE w:val="0"/>
      <w:autoSpaceDN w:val="0"/>
      <w:spacing w:before="0" w:after="0" w:line="240" w:lineRule="auto"/>
      <w:ind w:left="471" w:right="0"/>
      <w:jc w:val="left"/>
    </w:pPr>
    <w:rPr>
      <w:rFonts w:ascii="仿宋_GB2312" w:hAnsi="仿宋_GB2312" w:eastAsia="仿宋_GB2312" w:cs="仿宋_GB2312"/>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3316</Words>
  <Characters>3372</Characters>
  <Lines>0</Lines>
  <Paragraphs>0</Paragraphs>
  <TotalTime>24</TotalTime>
  <ScaleCrop>false</ScaleCrop>
  <LinksUpToDate>false</LinksUpToDate>
  <CharactersWithSpaces>3373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2023-01-09T00:48:00Z</dcterms:created>
  <dc:creator>鲸鱼的大眼睛</dc:creator>
  <cp:lastModifiedBy>小强</cp:lastModifiedBy>
  <cp:lastPrinted>2023-01-17T03:58:14Z</cp:lastPrinted>
  <dcterms:modified xsi:type="dcterms:W3CDTF">2023-01-17T04:03:06Z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226EFF170F3645D3821114E8E059CB46</vt:lpwstr>
  </property>
</Properties>
</file>