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4" w:lineRule="auto"/>
        <w:rPr>
          <w:rFonts w:ascii="Arial"/>
          <w:sz w:val="21"/>
        </w:rPr>
      </w:pPr>
    </w:p>
    <w:p>
      <w:pPr>
        <w:spacing w:before="143" w:line="219" w:lineRule="auto"/>
        <w:ind w:left="4004"/>
        <w:rPr>
          <w:rFonts w:ascii="宋体" w:hAnsi="宋体" w:eastAsia="宋体" w:cs="宋体"/>
          <w:sz w:val="44"/>
          <w:szCs w:val="44"/>
        </w:rPr>
      </w:pPr>
      <w:r>
        <w:rPr>
          <w:rFonts w:ascii="宋体" w:hAnsi="宋体" w:eastAsia="宋体" w:cs="宋体"/>
          <w:b/>
          <w:bCs/>
          <w:spacing w:val="-6"/>
          <w:sz w:val="44"/>
          <w:szCs w:val="44"/>
        </w:rPr>
        <w:t>河南省市场监督管理减轻处罚事项清单</w:t>
      </w:r>
    </w:p>
    <w:p>
      <w:pPr>
        <w:spacing w:line="220" w:lineRule="exact"/>
      </w:pPr>
    </w:p>
    <w:tbl>
      <w:tblPr>
        <w:tblStyle w:val="8"/>
        <w:tblW w:w="14720" w:type="dxa"/>
        <w:tblInd w:w="3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5"/>
        <w:gridCol w:w="1559"/>
        <w:gridCol w:w="3917"/>
        <w:gridCol w:w="3058"/>
        <w:gridCol w:w="2099"/>
        <w:gridCol w:w="1689"/>
        <w:gridCol w:w="1009"/>
        <w:gridCol w:w="9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395" w:type="dxa"/>
            <w:textDirection w:val="tbRlV"/>
            <w:vAlign w:val="top"/>
          </w:tcPr>
          <w:p>
            <w:pPr>
              <w:spacing w:before="70" w:line="217" w:lineRule="auto"/>
              <w:ind w:left="72"/>
              <w:rPr>
                <w:rFonts w:hint="eastAsia" w:ascii="黑体" w:hAnsi="黑体" w:eastAsia="黑体" w:cs="黑体"/>
                <w:b w:val="0"/>
                <w:bCs w:val="0"/>
                <w:sz w:val="24"/>
                <w:szCs w:val="24"/>
              </w:rPr>
            </w:pPr>
            <w:r>
              <w:rPr>
                <w:rFonts w:hint="eastAsia" w:ascii="黑体" w:hAnsi="黑体" w:eastAsia="黑体" w:cs="黑体"/>
                <w:b w:val="0"/>
                <w:bCs w:val="0"/>
                <w:sz w:val="24"/>
                <w:szCs w:val="24"/>
              </w:rPr>
              <w:t>序号</w:t>
            </w:r>
          </w:p>
        </w:tc>
        <w:tc>
          <w:tcPr>
            <w:tcW w:w="1559" w:type="dxa"/>
            <w:vAlign w:val="top"/>
          </w:tcPr>
          <w:p>
            <w:pPr>
              <w:spacing w:before="212" w:line="220" w:lineRule="auto"/>
              <w:ind w:left="293"/>
              <w:rPr>
                <w:rFonts w:hint="eastAsia" w:ascii="黑体" w:hAnsi="黑体" w:eastAsia="黑体" w:cs="黑体"/>
                <w:b w:val="0"/>
                <w:bCs w:val="0"/>
                <w:sz w:val="24"/>
                <w:szCs w:val="24"/>
              </w:rPr>
            </w:pPr>
            <w:r>
              <w:rPr>
                <w:rFonts w:hint="eastAsia" w:ascii="黑体" w:hAnsi="黑体" w:eastAsia="黑体" w:cs="黑体"/>
                <w:b w:val="0"/>
                <w:bCs w:val="0"/>
                <w:spacing w:val="-5"/>
                <w:sz w:val="24"/>
                <w:szCs w:val="24"/>
              </w:rPr>
              <w:t>事项名称</w:t>
            </w:r>
          </w:p>
        </w:tc>
        <w:tc>
          <w:tcPr>
            <w:tcW w:w="3917" w:type="dxa"/>
            <w:vAlign w:val="top"/>
          </w:tcPr>
          <w:p>
            <w:pPr>
              <w:spacing w:before="209" w:line="219" w:lineRule="auto"/>
              <w:ind w:left="1484"/>
              <w:rPr>
                <w:rFonts w:hint="eastAsia" w:ascii="黑体" w:hAnsi="黑体" w:eastAsia="黑体" w:cs="黑体"/>
                <w:b w:val="0"/>
                <w:bCs w:val="0"/>
                <w:sz w:val="24"/>
                <w:szCs w:val="24"/>
              </w:rPr>
            </w:pPr>
            <w:r>
              <w:rPr>
                <w:rFonts w:hint="eastAsia" w:ascii="黑体" w:hAnsi="黑体" w:eastAsia="黑体" w:cs="黑体"/>
                <w:b w:val="0"/>
                <w:bCs w:val="0"/>
                <w:spacing w:val="-1"/>
                <w:sz w:val="24"/>
                <w:szCs w:val="24"/>
              </w:rPr>
              <w:t>设定依据</w:t>
            </w:r>
          </w:p>
        </w:tc>
        <w:tc>
          <w:tcPr>
            <w:tcW w:w="3058" w:type="dxa"/>
            <w:vAlign w:val="top"/>
          </w:tcPr>
          <w:p>
            <w:pPr>
              <w:spacing w:before="212" w:line="220" w:lineRule="auto"/>
              <w:ind w:left="1057"/>
              <w:rPr>
                <w:rFonts w:hint="eastAsia" w:ascii="黑体" w:hAnsi="黑体" w:eastAsia="黑体" w:cs="黑体"/>
                <w:b w:val="0"/>
                <w:bCs w:val="0"/>
                <w:sz w:val="24"/>
                <w:szCs w:val="24"/>
              </w:rPr>
            </w:pPr>
            <w:r>
              <w:rPr>
                <w:rFonts w:hint="eastAsia" w:ascii="黑体" w:hAnsi="黑体" w:eastAsia="黑体" w:cs="黑体"/>
                <w:b w:val="0"/>
                <w:bCs w:val="0"/>
                <w:spacing w:val="-5"/>
                <w:sz w:val="24"/>
                <w:szCs w:val="24"/>
              </w:rPr>
              <w:t>适用情形</w:t>
            </w:r>
          </w:p>
        </w:tc>
        <w:tc>
          <w:tcPr>
            <w:tcW w:w="2099" w:type="dxa"/>
            <w:vAlign w:val="top"/>
          </w:tcPr>
          <w:p>
            <w:pPr>
              <w:spacing w:before="209" w:line="219" w:lineRule="auto"/>
              <w:ind w:left="329"/>
              <w:rPr>
                <w:rFonts w:hint="eastAsia" w:ascii="黑体" w:hAnsi="黑体" w:eastAsia="黑体" w:cs="黑体"/>
                <w:b w:val="0"/>
                <w:bCs w:val="0"/>
                <w:sz w:val="24"/>
                <w:szCs w:val="24"/>
              </w:rPr>
            </w:pPr>
            <w:r>
              <w:rPr>
                <w:rFonts w:hint="eastAsia" w:ascii="黑体" w:hAnsi="黑体" w:eastAsia="黑体" w:cs="黑体"/>
                <w:b w:val="0"/>
                <w:bCs w:val="0"/>
                <w:spacing w:val="-4"/>
                <w:sz w:val="24"/>
                <w:szCs w:val="24"/>
              </w:rPr>
              <w:t>减轻处罚依据</w:t>
            </w:r>
          </w:p>
        </w:tc>
        <w:tc>
          <w:tcPr>
            <w:tcW w:w="1689" w:type="dxa"/>
            <w:vAlign w:val="top"/>
          </w:tcPr>
          <w:p>
            <w:pPr>
              <w:spacing w:before="209" w:line="218" w:lineRule="auto"/>
              <w:ind w:left="360"/>
              <w:rPr>
                <w:rFonts w:hint="eastAsia" w:ascii="黑体" w:hAnsi="黑体" w:eastAsia="黑体" w:cs="黑体"/>
                <w:b w:val="0"/>
                <w:bCs w:val="0"/>
                <w:sz w:val="24"/>
                <w:szCs w:val="24"/>
              </w:rPr>
            </w:pPr>
            <w:r>
              <w:rPr>
                <w:rFonts w:hint="eastAsia" w:ascii="黑体" w:hAnsi="黑体" w:eastAsia="黑体" w:cs="黑体"/>
                <w:b w:val="0"/>
                <w:bCs w:val="0"/>
                <w:spacing w:val="-5"/>
                <w:sz w:val="24"/>
                <w:szCs w:val="24"/>
              </w:rPr>
              <w:t>裁量幅度</w:t>
            </w:r>
          </w:p>
        </w:tc>
        <w:tc>
          <w:tcPr>
            <w:tcW w:w="1009" w:type="dxa"/>
            <w:vAlign w:val="top"/>
          </w:tcPr>
          <w:p>
            <w:pPr>
              <w:spacing w:before="72" w:line="213" w:lineRule="auto"/>
              <w:ind w:left="141" w:right="146"/>
              <w:rPr>
                <w:rFonts w:hint="eastAsia" w:ascii="黑体" w:hAnsi="黑体" w:eastAsia="黑体" w:cs="黑体"/>
                <w:b w:val="0"/>
                <w:bCs w:val="0"/>
                <w:sz w:val="24"/>
                <w:szCs w:val="24"/>
              </w:rPr>
            </w:pPr>
            <w:r>
              <w:rPr>
                <w:rFonts w:hint="eastAsia" w:ascii="黑体" w:hAnsi="黑体" w:eastAsia="黑体" w:cs="黑体"/>
                <w:b w:val="0"/>
                <w:bCs w:val="0"/>
                <w:spacing w:val="-6"/>
                <w:sz w:val="24"/>
                <w:szCs w:val="24"/>
              </w:rPr>
              <w:t>配套监管措施</w:t>
            </w:r>
          </w:p>
        </w:tc>
        <w:tc>
          <w:tcPr>
            <w:tcW w:w="994" w:type="dxa"/>
            <w:vAlign w:val="top"/>
          </w:tcPr>
          <w:p>
            <w:pPr>
              <w:spacing w:before="212" w:line="221" w:lineRule="auto"/>
              <w:ind w:left="252"/>
              <w:rPr>
                <w:rFonts w:hint="eastAsia" w:ascii="黑体" w:hAnsi="黑体" w:eastAsia="黑体" w:cs="黑体"/>
                <w:b w:val="0"/>
                <w:bCs w:val="0"/>
                <w:sz w:val="24"/>
                <w:szCs w:val="24"/>
              </w:rPr>
            </w:pPr>
            <w:r>
              <w:rPr>
                <w:rFonts w:hint="eastAsia" w:ascii="黑体" w:hAnsi="黑体" w:eastAsia="黑体" w:cs="黑体"/>
                <w:b w:val="0"/>
                <w:bCs w:val="0"/>
                <w:spacing w:val="-6"/>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4" w:hRule="atLeast"/>
        </w:trPr>
        <w:tc>
          <w:tcPr>
            <w:tcW w:w="395" w:type="dxa"/>
            <w:vAlign w:val="center"/>
          </w:tcPr>
          <w:p>
            <w:pPr>
              <w:spacing w:before="75" w:line="210" w:lineRule="auto"/>
              <w:ind w:left="114" w:right="48"/>
              <w:jc w:val="both"/>
              <w:rPr>
                <w:rFonts w:ascii="宋体" w:hAnsi="宋体" w:eastAsia="宋体" w:cs="宋体"/>
                <w:spacing w:val="25"/>
                <w:sz w:val="21"/>
                <w:szCs w:val="21"/>
              </w:rPr>
            </w:pPr>
            <w:r>
              <w:rPr>
                <w:rFonts w:ascii="宋体" w:hAnsi="宋体" w:eastAsia="宋体" w:cs="宋体"/>
                <w:spacing w:val="25"/>
                <w:sz w:val="21"/>
                <w:szCs w:val="21"/>
              </w:rPr>
              <w:t>1</w:t>
            </w:r>
          </w:p>
        </w:tc>
        <w:tc>
          <w:tcPr>
            <w:tcW w:w="1559" w:type="dxa"/>
            <w:vAlign w:val="center"/>
          </w:tcPr>
          <w:p>
            <w:pPr>
              <w:spacing w:before="75" w:line="210" w:lineRule="auto"/>
              <w:ind w:left="114" w:right="48"/>
              <w:jc w:val="both"/>
              <w:rPr>
                <w:rFonts w:ascii="宋体" w:hAnsi="宋体" w:eastAsia="宋体" w:cs="宋体"/>
                <w:spacing w:val="25"/>
                <w:sz w:val="21"/>
                <w:szCs w:val="21"/>
              </w:rPr>
            </w:pPr>
            <w:r>
              <w:rPr>
                <w:rFonts w:ascii="宋体" w:hAnsi="宋体" w:eastAsia="宋体" w:cs="宋体"/>
                <w:spacing w:val="25"/>
                <w:sz w:val="21"/>
                <w:szCs w:val="21"/>
              </w:rPr>
              <w:t>未经许可(超出原许可范围、许可到期未延续)从事食品、食品添加剂生产经营的处罚</w:t>
            </w:r>
          </w:p>
        </w:tc>
        <w:tc>
          <w:tcPr>
            <w:tcW w:w="3917" w:type="dxa"/>
            <w:vAlign w:val="center"/>
          </w:tcPr>
          <w:p>
            <w:pPr>
              <w:spacing w:before="75" w:line="210" w:lineRule="auto"/>
              <w:ind w:left="114" w:right="48"/>
              <w:jc w:val="both"/>
              <w:rPr>
                <w:rFonts w:ascii="宋体" w:hAnsi="宋体" w:eastAsia="宋体" w:cs="宋体"/>
                <w:spacing w:val="25"/>
                <w:sz w:val="21"/>
                <w:szCs w:val="21"/>
              </w:rPr>
            </w:pPr>
            <w:r>
              <w:rPr>
                <w:rFonts w:ascii="宋体" w:hAnsi="宋体" w:eastAsia="宋体" w:cs="宋体"/>
                <w:spacing w:val="25"/>
                <w:sz w:val="21"/>
                <w:szCs w:val="21"/>
              </w:rPr>
              <w:t>《食品安全法》第一百二十二条：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tc>
        <w:tc>
          <w:tcPr>
            <w:tcW w:w="3058" w:type="dxa"/>
            <w:vAlign w:val="center"/>
          </w:tcPr>
          <w:p>
            <w:pPr>
              <w:spacing w:before="75" w:line="210" w:lineRule="auto"/>
              <w:ind w:left="114" w:right="48"/>
              <w:jc w:val="both"/>
              <w:rPr>
                <w:rFonts w:ascii="宋体" w:hAnsi="宋体" w:eastAsia="宋体" w:cs="宋体"/>
                <w:spacing w:val="25"/>
                <w:sz w:val="21"/>
                <w:szCs w:val="21"/>
              </w:rPr>
            </w:pPr>
            <w:r>
              <w:rPr>
                <w:rFonts w:ascii="宋体" w:hAnsi="宋体" w:eastAsia="宋体" w:cs="宋体"/>
                <w:spacing w:val="25"/>
                <w:sz w:val="21"/>
                <w:szCs w:val="21"/>
              </w:rPr>
              <w:t>超出原许可范围或者许可到期未延续，从事食品、食品添加剂的生产经营活动，生产的食品、食品添加剂经检验合格，且存在以下情形之一：1.初次违法；2.主动改正；3.主动消除或者减轻违法行为危害后果的；4.配合市场监管部门调查；5.行政处罚裁量基准明确的其他可以减轻处罚</w:t>
            </w:r>
            <w:bookmarkStart w:id="0" w:name="_GoBack"/>
            <w:bookmarkEnd w:id="0"/>
            <w:r>
              <w:rPr>
                <w:rFonts w:ascii="宋体" w:hAnsi="宋体" w:eastAsia="宋体" w:cs="宋体"/>
                <w:spacing w:val="25"/>
                <w:sz w:val="21"/>
                <w:szCs w:val="21"/>
              </w:rPr>
              <w:t>的情形。</w:t>
            </w:r>
          </w:p>
        </w:tc>
        <w:tc>
          <w:tcPr>
            <w:tcW w:w="2099" w:type="dxa"/>
            <w:vAlign w:val="center"/>
          </w:tcPr>
          <w:p>
            <w:pPr>
              <w:spacing w:before="75" w:line="210" w:lineRule="auto"/>
              <w:ind w:left="114" w:right="48"/>
              <w:jc w:val="both"/>
              <w:rPr>
                <w:rFonts w:ascii="宋体" w:hAnsi="宋体" w:eastAsia="宋体" w:cs="宋体"/>
                <w:spacing w:val="25"/>
                <w:sz w:val="21"/>
                <w:szCs w:val="21"/>
              </w:rPr>
            </w:pPr>
            <w:r>
              <w:rPr>
                <w:rFonts w:ascii="宋体" w:hAnsi="宋体" w:eastAsia="宋体" w:cs="宋体"/>
                <w:spacing w:val="25"/>
                <w:sz w:val="21"/>
                <w:szCs w:val="21"/>
              </w:rPr>
              <w:t>《行政处罚法》第五条第二款：设定和实施行政处罚必须以事实为依据，与违法行为的事实、性质、情节以及社会危害程度相当。</w:t>
            </w:r>
          </w:p>
        </w:tc>
        <w:tc>
          <w:tcPr>
            <w:tcW w:w="1689" w:type="dxa"/>
            <w:vAlign w:val="center"/>
          </w:tcPr>
          <w:p>
            <w:pPr>
              <w:spacing w:before="75" w:line="210" w:lineRule="auto"/>
              <w:ind w:left="114" w:right="48"/>
              <w:jc w:val="both"/>
              <w:rPr>
                <w:rFonts w:ascii="宋体" w:hAnsi="宋体" w:eastAsia="宋体" w:cs="宋体"/>
                <w:spacing w:val="25"/>
                <w:sz w:val="21"/>
                <w:szCs w:val="21"/>
              </w:rPr>
            </w:pPr>
            <w:r>
              <w:rPr>
                <w:rFonts w:ascii="宋体" w:hAnsi="宋体" w:eastAsia="宋体" w:cs="宋体"/>
                <w:spacing w:val="25"/>
                <w:sz w:val="21"/>
                <w:szCs w:val="21"/>
              </w:rPr>
              <w:t>不予没收用于违法生产经营的工具、设备、原料等物品，其他行政处罚考量违法行为的事实、性质、情节、社会危害程度等因素</w:t>
            </w:r>
            <w:r>
              <w:rPr>
                <w:rFonts w:ascii="宋体" w:hAnsi="宋体" w:eastAsia="宋体" w:cs="宋体"/>
                <w:spacing w:val="25"/>
                <w:sz w:val="21"/>
                <w:szCs w:val="21"/>
              </w:rPr>
              <w:t>后作出。</w:t>
            </w:r>
          </w:p>
        </w:tc>
        <w:tc>
          <w:tcPr>
            <w:tcW w:w="1009" w:type="dxa"/>
            <w:vAlign w:val="center"/>
          </w:tcPr>
          <w:p>
            <w:pPr>
              <w:spacing w:before="75" w:line="210" w:lineRule="auto"/>
              <w:ind w:left="114" w:right="48"/>
              <w:jc w:val="both"/>
              <w:rPr>
                <w:rFonts w:ascii="宋体" w:hAnsi="宋体" w:eastAsia="宋体" w:cs="宋体"/>
                <w:spacing w:val="25"/>
                <w:sz w:val="21"/>
                <w:szCs w:val="21"/>
              </w:rPr>
            </w:pPr>
            <w:r>
              <w:rPr>
                <w:rFonts w:ascii="宋体" w:hAnsi="宋体" w:eastAsia="宋体" w:cs="宋体"/>
                <w:spacing w:val="25"/>
                <w:sz w:val="21"/>
                <w:szCs w:val="21"/>
              </w:rPr>
              <w:t>批评教育、告诫约谈。</w:t>
            </w:r>
          </w:p>
        </w:tc>
        <w:tc>
          <w:tcPr>
            <w:tcW w:w="994" w:type="dxa"/>
            <w:vAlign w:val="center"/>
          </w:tcPr>
          <w:p>
            <w:pPr>
              <w:jc w:val="both"/>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1" w:hRule="atLeast"/>
        </w:trPr>
        <w:tc>
          <w:tcPr>
            <w:tcW w:w="395" w:type="dxa"/>
            <w:vAlign w:val="center"/>
          </w:tcPr>
          <w:p>
            <w:pPr>
              <w:spacing w:before="75" w:line="210" w:lineRule="auto"/>
              <w:ind w:left="114" w:right="48"/>
              <w:jc w:val="both"/>
              <w:rPr>
                <w:rFonts w:ascii="宋体" w:hAnsi="宋体" w:eastAsia="宋体" w:cs="宋体"/>
                <w:spacing w:val="25"/>
                <w:sz w:val="21"/>
                <w:szCs w:val="21"/>
              </w:rPr>
            </w:pPr>
            <w:r>
              <w:rPr>
                <w:rFonts w:ascii="宋体" w:hAnsi="宋体" w:eastAsia="宋体" w:cs="宋体"/>
                <w:spacing w:val="25"/>
                <w:sz w:val="21"/>
                <w:szCs w:val="21"/>
              </w:rPr>
              <w:t>2</w:t>
            </w:r>
          </w:p>
        </w:tc>
        <w:tc>
          <w:tcPr>
            <w:tcW w:w="1559" w:type="dxa"/>
            <w:vAlign w:val="center"/>
          </w:tcPr>
          <w:p>
            <w:pPr>
              <w:spacing w:before="75" w:line="210" w:lineRule="auto"/>
              <w:ind w:left="114" w:right="48"/>
              <w:jc w:val="both"/>
              <w:rPr>
                <w:rFonts w:ascii="宋体" w:hAnsi="宋体" w:eastAsia="宋体" w:cs="宋体"/>
                <w:spacing w:val="25"/>
                <w:sz w:val="21"/>
                <w:szCs w:val="21"/>
              </w:rPr>
            </w:pPr>
            <w:r>
              <w:rPr>
                <w:rFonts w:ascii="宋体" w:hAnsi="宋体" w:eastAsia="宋体" w:cs="宋体"/>
                <w:spacing w:val="25"/>
                <w:sz w:val="21"/>
                <w:szCs w:val="21"/>
              </w:rPr>
              <w:t>销售不能够完全恢复到初始状态的无理由退货商品，且未通过显著的方式明确标注商品实际情况的的行政处罚</w:t>
            </w:r>
          </w:p>
        </w:tc>
        <w:tc>
          <w:tcPr>
            <w:tcW w:w="3917" w:type="dxa"/>
            <w:vAlign w:val="center"/>
          </w:tcPr>
          <w:p>
            <w:pPr>
              <w:spacing w:before="75" w:line="210" w:lineRule="auto"/>
              <w:ind w:left="114" w:right="48"/>
              <w:jc w:val="both"/>
              <w:rPr>
                <w:rFonts w:ascii="宋体" w:hAnsi="宋体" w:eastAsia="宋体" w:cs="宋体"/>
                <w:spacing w:val="25"/>
                <w:sz w:val="21"/>
                <w:szCs w:val="21"/>
              </w:rPr>
            </w:pPr>
            <w:r>
              <w:rPr>
                <w:rFonts w:ascii="宋体" w:hAnsi="宋体" w:eastAsia="宋体" w:cs="宋体"/>
                <w:spacing w:val="25"/>
                <w:sz w:val="21"/>
                <w:szCs w:val="21"/>
              </w:rPr>
              <w:t>《网络购买商品七日无理由退货暂行办法》第三十三条：网络商品销售者违反本办法第二十五条规定，销售不能够完全恢复到初始状态的无理由退货商品，且未通过显著的方式明确标注商品实际情况的，违反其他法律、行政法规的，依照有关法律、行政法规的规定处罚；法律、行政法规未作规定的，予以警告，责令改正，并处一万元以上三万元以下的罚款。</w:t>
            </w:r>
          </w:p>
        </w:tc>
        <w:tc>
          <w:tcPr>
            <w:tcW w:w="3058" w:type="dxa"/>
            <w:vAlign w:val="center"/>
          </w:tcPr>
          <w:p>
            <w:pPr>
              <w:spacing w:before="75" w:line="210" w:lineRule="auto"/>
              <w:ind w:left="114" w:right="48"/>
              <w:jc w:val="both"/>
              <w:rPr>
                <w:rFonts w:ascii="宋体" w:hAnsi="宋体" w:eastAsia="宋体" w:cs="宋体"/>
                <w:spacing w:val="25"/>
                <w:sz w:val="21"/>
                <w:szCs w:val="21"/>
              </w:rPr>
            </w:pPr>
            <w:r>
              <w:rPr>
                <w:rFonts w:ascii="宋体" w:hAnsi="宋体" w:eastAsia="宋体" w:cs="宋体"/>
                <w:spacing w:val="25"/>
                <w:sz w:val="21"/>
                <w:szCs w:val="21"/>
              </w:rPr>
              <w:t>违法行为持续时间较短、经营规模较小，且存在以下情形之一：1.初次违法；2.主动改正；3.主动消除或者减轻违法行为危害后果的；4.配合市场监管部门调查；5.行政处罚裁量基准明确的其他可以减轻处罚的情形。</w:t>
            </w:r>
          </w:p>
        </w:tc>
        <w:tc>
          <w:tcPr>
            <w:tcW w:w="2099" w:type="dxa"/>
            <w:vAlign w:val="center"/>
          </w:tcPr>
          <w:p>
            <w:pPr>
              <w:spacing w:before="75" w:line="210" w:lineRule="auto"/>
              <w:ind w:left="114" w:right="48"/>
              <w:jc w:val="both"/>
              <w:rPr>
                <w:rFonts w:ascii="宋体" w:hAnsi="宋体" w:eastAsia="宋体" w:cs="宋体"/>
                <w:spacing w:val="25"/>
                <w:sz w:val="21"/>
                <w:szCs w:val="21"/>
              </w:rPr>
            </w:pPr>
            <w:r>
              <w:rPr>
                <w:rFonts w:ascii="宋体" w:hAnsi="宋体" w:eastAsia="宋体" w:cs="宋体"/>
                <w:spacing w:val="25"/>
                <w:sz w:val="21"/>
                <w:szCs w:val="21"/>
              </w:rPr>
              <w:t>《行政处罚法》第五条第二款：设定和实施行政处罚必须以事实为依据，与违法行为的事实、性质、情节以及社会危害程度相当。</w:t>
            </w:r>
          </w:p>
        </w:tc>
        <w:tc>
          <w:tcPr>
            <w:tcW w:w="1689" w:type="dxa"/>
            <w:vAlign w:val="center"/>
          </w:tcPr>
          <w:p>
            <w:pPr>
              <w:spacing w:before="75" w:line="210" w:lineRule="auto"/>
              <w:ind w:left="114" w:right="48"/>
              <w:jc w:val="both"/>
              <w:rPr>
                <w:rFonts w:ascii="宋体" w:hAnsi="宋体" w:eastAsia="宋体" w:cs="宋体"/>
                <w:spacing w:val="25"/>
                <w:sz w:val="21"/>
                <w:szCs w:val="21"/>
              </w:rPr>
            </w:pPr>
            <w:r>
              <w:rPr>
                <w:rFonts w:ascii="宋体" w:hAnsi="宋体" w:eastAsia="宋体" w:cs="宋体"/>
                <w:spacing w:val="25"/>
                <w:sz w:val="21"/>
                <w:szCs w:val="21"/>
              </w:rPr>
              <w:t>罚款的数额一般为5000元以下。</w:t>
            </w:r>
          </w:p>
        </w:tc>
        <w:tc>
          <w:tcPr>
            <w:tcW w:w="1009" w:type="dxa"/>
            <w:vAlign w:val="center"/>
          </w:tcPr>
          <w:p>
            <w:pPr>
              <w:spacing w:before="75" w:line="210" w:lineRule="auto"/>
              <w:ind w:left="114" w:right="48"/>
              <w:jc w:val="both"/>
              <w:rPr>
                <w:rFonts w:ascii="宋体" w:hAnsi="宋体" w:eastAsia="宋体" w:cs="宋体"/>
                <w:spacing w:val="25"/>
                <w:sz w:val="21"/>
                <w:szCs w:val="21"/>
              </w:rPr>
            </w:pPr>
            <w:r>
              <w:rPr>
                <w:rFonts w:ascii="宋体" w:hAnsi="宋体" w:eastAsia="宋体" w:cs="宋体"/>
                <w:spacing w:val="25"/>
                <w:sz w:val="21"/>
                <w:szCs w:val="21"/>
              </w:rPr>
              <w:t>批评教</w:t>
            </w:r>
            <w:r>
              <w:rPr>
                <w:rFonts w:ascii="宋体" w:hAnsi="宋体" w:eastAsia="宋体" w:cs="宋体"/>
                <w:spacing w:val="25"/>
                <w:sz w:val="21"/>
                <w:szCs w:val="21"/>
              </w:rPr>
              <w:t>育、告诫约谈。</w:t>
            </w:r>
          </w:p>
        </w:tc>
        <w:tc>
          <w:tcPr>
            <w:tcW w:w="994" w:type="dxa"/>
            <w:vAlign w:val="center"/>
          </w:tcPr>
          <w:p>
            <w:pPr>
              <w:jc w:val="both"/>
              <w:rPr>
                <w:rFonts w:ascii="Arial"/>
                <w:sz w:val="21"/>
              </w:rPr>
            </w:pPr>
          </w:p>
        </w:tc>
      </w:tr>
    </w:tbl>
    <w:p>
      <w:pPr>
        <w:rPr>
          <w:rFonts w:ascii="Arial"/>
          <w:sz w:val="21"/>
        </w:rPr>
      </w:pPr>
    </w:p>
    <w:p>
      <w:pPr>
        <w:sectPr>
          <w:footerReference r:id="rId3" w:type="default"/>
          <w:pgSz w:w="16840" w:h="11900"/>
          <w:pgMar w:top="1011" w:right="1085" w:bottom="400" w:left="671" w:header="0" w:footer="850" w:gutter="0"/>
          <w:pgNumType w:fmt="decimal"/>
          <w:cols w:space="720" w:num="1"/>
        </w:sectPr>
      </w:pPr>
    </w:p>
    <w:p>
      <w:r>
        <mc:AlternateContent>
          <mc:Choice Requires="wps">
            <w:drawing>
              <wp:anchor distT="0" distB="0" distL="0" distR="0" simplePos="0" relativeHeight="251660288" behindDoc="0" locked="0" layoutInCell="0" allowOverlap="1">
                <wp:simplePos x="0" y="0"/>
                <wp:positionH relativeFrom="page">
                  <wp:posOffset>87630</wp:posOffset>
                </wp:positionH>
                <wp:positionV relativeFrom="page">
                  <wp:posOffset>1303655</wp:posOffset>
                </wp:positionV>
                <wp:extent cx="741045" cy="191135"/>
                <wp:effectExtent l="274955" t="0" r="0" b="0"/>
                <wp:wrapNone/>
                <wp:docPr id="13" name="TextBox 6"/>
                <wp:cNvGraphicFramePr/>
                <a:graphic xmlns:a="http://schemas.openxmlformats.org/drawingml/2006/main">
                  <a:graphicData uri="http://schemas.microsoft.com/office/word/2010/wordprocessingShape">
                    <wps:wsp>
                      <wps:cNvSpPr txBox="1"/>
                      <wps:spPr>
                        <a:xfrm rot="5400000">
                          <a:off x="88055" y="1303885"/>
                          <a:ext cx="741044" cy="19113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0" w:line="184" w:lineRule="auto"/>
                              <w:rPr>
                                <w:rFonts w:ascii="宋体" w:hAnsi="宋体" w:eastAsia="宋体" w:cs="宋体"/>
                                <w:sz w:val="20"/>
                                <w:szCs w:val="20"/>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 o:spid="_x0000_s1026" o:spt="202" type="#_x0000_t202" style="position:absolute;left:0pt;margin-left:6.9pt;margin-top:102.65pt;height:15.05pt;width:58.35pt;mso-position-horizontal-relative:page;mso-position-vertical-relative:page;rotation:5898240f;z-index:251660288;mso-width-relative:page;mso-height-relative:page;" filled="f" stroked="f" coordsize="21600,21600" o:allowincell="f" o:gfxdata="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8IABXUAAAACgEAAA8AAAAAAAAAAQAgAAAAIgAAAGRycy9kb3ducmV2LnhtbFBLAQIU&#10;ABQAAAAIAIdO4kBwjypGMAIAAGkEAAAOAAAAAAAAAAEAIAAAACMBAABkcnMvZTJvRG9jLnhtbFBL&#10;BQYAAAAABgAGAFkBAADFBQAAAAA=&#10;">
                <v:fill on="f" focussize="0,0"/>
                <v:stroke on="f" weight="0pt"/>
                <v:imagedata o:title=""/>
                <o:lock v:ext="edit" aspectratio="f"/>
                <v:textbox inset="0mm,0mm,0mm,0mm">
                  <w:txbxContent>
                    <w:p>
                      <w:pPr>
                        <w:spacing w:before="80" w:line="184" w:lineRule="auto"/>
                        <w:rPr>
                          <w:rFonts w:ascii="宋体" w:hAnsi="宋体" w:eastAsia="宋体" w:cs="宋体"/>
                          <w:sz w:val="20"/>
                          <w:szCs w:val="20"/>
                        </w:rPr>
                      </w:pPr>
                    </w:p>
                  </w:txbxContent>
                </v:textbox>
              </v:shape>
            </w:pict>
          </mc:Fallback>
        </mc:AlternateContent>
      </w:r>
    </w:p>
    <w:p/>
    <w:p>
      <w:pPr>
        <w:spacing w:line="80" w:lineRule="exact"/>
      </w:pPr>
    </w:p>
    <w:tbl>
      <w:tblPr>
        <w:tblStyle w:val="8"/>
        <w:tblW w:w="14720" w:type="dxa"/>
        <w:tblInd w:w="3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5"/>
        <w:gridCol w:w="1559"/>
        <w:gridCol w:w="3927"/>
        <w:gridCol w:w="3048"/>
        <w:gridCol w:w="2099"/>
        <w:gridCol w:w="1679"/>
        <w:gridCol w:w="1009"/>
        <w:gridCol w:w="1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395" w:type="dxa"/>
            <w:textDirection w:val="tbRlV"/>
            <w:vAlign w:val="top"/>
          </w:tcPr>
          <w:p>
            <w:pPr>
              <w:spacing w:before="80" w:line="217" w:lineRule="auto"/>
              <w:ind w:left="83"/>
              <w:rPr>
                <w:rFonts w:hint="eastAsia" w:ascii="黑体" w:hAnsi="黑体" w:eastAsia="黑体" w:cs="黑体"/>
                <w:b w:val="0"/>
                <w:bCs w:val="0"/>
                <w:sz w:val="23"/>
                <w:szCs w:val="23"/>
              </w:rPr>
            </w:pPr>
            <w:r>
              <w:rPr>
                <w:rFonts w:hint="eastAsia" w:ascii="黑体" w:hAnsi="黑体" w:eastAsia="黑体" w:cs="黑体"/>
                <w:b w:val="0"/>
                <w:bCs w:val="0"/>
                <w:sz w:val="23"/>
                <w:szCs w:val="23"/>
              </w:rPr>
              <w:t>序号</w:t>
            </w:r>
          </w:p>
        </w:tc>
        <w:tc>
          <w:tcPr>
            <w:tcW w:w="1559" w:type="dxa"/>
            <w:vAlign w:val="top"/>
          </w:tcPr>
          <w:p>
            <w:pPr>
              <w:spacing w:before="221" w:line="220" w:lineRule="auto"/>
              <w:ind w:left="313"/>
              <w:rPr>
                <w:rFonts w:hint="eastAsia" w:ascii="黑体" w:hAnsi="黑体" w:eastAsia="黑体" w:cs="黑体"/>
                <w:b w:val="0"/>
                <w:bCs w:val="0"/>
                <w:sz w:val="23"/>
                <w:szCs w:val="23"/>
              </w:rPr>
            </w:pPr>
            <w:r>
              <w:rPr>
                <w:rFonts w:hint="eastAsia" w:ascii="黑体" w:hAnsi="黑体" w:eastAsia="黑体" w:cs="黑体"/>
                <w:b w:val="0"/>
                <w:bCs w:val="0"/>
                <w:spacing w:val="-5"/>
                <w:sz w:val="23"/>
                <w:szCs w:val="23"/>
              </w:rPr>
              <w:t>事项名称</w:t>
            </w:r>
          </w:p>
        </w:tc>
        <w:tc>
          <w:tcPr>
            <w:tcW w:w="3927" w:type="dxa"/>
            <w:vAlign w:val="top"/>
          </w:tcPr>
          <w:p>
            <w:pPr>
              <w:spacing w:before="219" w:line="219" w:lineRule="auto"/>
              <w:ind w:left="1484"/>
              <w:rPr>
                <w:rFonts w:hint="eastAsia" w:ascii="黑体" w:hAnsi="黑体" w:eastAsia="黑体" w:cs="黑体"/>
                <w:b w:val="0"/>
                <w:bCs w:val="0"/>
                <w:sz w:val="23"/>
                <w:szCs w:val="23"/>
              </w:rPr>
            </w:pPr>
            <w:r>
              <w:rPr>
                <w:rFonts w:hint="eastAsia" w:ascii="黑体" w:hAnsi="黑体" w:eastAsia="黑体" w:cs="黑体"/>
                <w:b w:val="0"/>
                <w:bCs w:val="0"/>
                <w:spacing w:val="9"/>
                <w:sz w:val="23"/>
                <w:szCs w:val="23"/>
              </w:rPr>
              <w:t>设定依据</w:t>
            </w:r>
          </w:p>
        </w:tc>
        <w:tc>
          <w:tcPr>
            <w:tcW w:w="3048" w:type="dxa"/>
            <w:vAlign w:val="top"/>
          </w:tcPr>
          <w:p>
            <w:pPr>
              <w:spacing w:before="221" w:line="220" w:lineRule="auto"/>
              <w:ind w:left="1047"/>
              <w:rPr>
                <w:rFonts w:hint="eastAsia" w:ascii="黑体" w:hAnsi="黑体" w:eastAsia="黑体" w:cs="黑体"/>
                <w:b w:val="0"/>
                <w:bCs w:val="0"/>
                <w:sz w:val="23"/>
                <w:szCs w:val="23"/>
              </w:rPr>
            </w:pPr>
            <w:r>
              <w:rPr>
                <w:rFonts w:hint="eastAsia" w:ascii="黑体" w:hAnsi="黑体" w:eastAsia="黑体" w:cs="黑体"/>
                <w:b w:val="0"/>
                <w:bCs w:val="0"/>
                <w:spacing w:val="8"/>
                <w:sz w:val="23"/>
                <w:szCs w:val="23"/>
              </w:rPr>
              <w:t>适用情形</w:t>
            </w:r>
          </w:p>
        </w:tc>
        <w:tc>
          <w:tcPr>
            <w:tcW w:w="2099" w:type="dxa"/>
            <w:vAlign w:val="top"/>
          </w:tcPr>
          <w:p>
            <w:pPr>
              <w:spacing w:before="219" w:line="219" w:lineRule="auto"/>
              <w:ind w:left="349"/>
              <w:rPr>
                <w:rFonts w:hint="eastAsia" w:ascii="黑体" w:hAnsi="黑体" w:eastAsia="黑体" w:cs="黑体"/>
                <w:b w:val="0"/>
                <w:bCs w:val="0"/>
                <w:sz w:val="23"/>
                <w:szCs w:val="23"/>
              </w:rPr>
            </w:pPr>
            <w:r>
              <w:rPr>
                <w:rFonts w:hint="eastAsia" w:ascii="黑体" w:hAnsi="黑体" w:eastAsia="黑体" w:cs="黑体"/>
                <w:b w:val="0"/>
                <w:bCs w:val="0"/>
                <w:spacing w:val="-4"/>
                <w:sz w:val="23"/>
                <w:szCs w:val="23"/>
              </w:rPr>
              <w:t>减轻处罚依据</w:t>
            </w:r>
          </w:p>
        </w:tc>
        <w:tc>
          <w:tcPr>
            <w:tcW w:w="1679" w:type="dxa"/>
            <w:vAlign w:val="top"/>
          </w:tcPr>
          <w:p>
            <w:pPr>
              <w:spacing w:before="219" w:line="218" w:lineRule="auto"/>
              <w:ind w:left="350"/>
              <w:rPr>
                <w:rFonts w:hint="eastAsia" w:ascii="黑体" w:hAnsi="黑体" w:eastAsia="黑体" w:cs="黑体"/>
                <w:b w:val="0"/>
                <w:bCs w:val="0"/>
                <w:sz w:val="23"/>
                <w:szCs w:val="23"/>
              </w:rPr>
            </w:pPr>
            <w:r>
              <w:rPr>
                <w:rFonts w:hint="eastAsia" w:ascii="黑体" w:hAnsi="黑体" w:eastAsia="黑体" w:cs="黑体"/>
                <w:b w:val="0"/>
                <w:bCs w:val="0"/>
                <w:spacing w:val="-5"/>
                <w:sz w:val="23"/>
                <w:szCs w:val="23"/>
              </w:rPr>
              <w:t>裁量幅度</w:t>
            </w:r>
          </w:p>
        </w:tc>
        <w:tc>
          <w:tcPr>
            <w:tcW w:w="1009" w:type="dxa"/>
            <w:vAlign w:val="top"/>
          </w:tcPr>
          <w:p>
            <w:pPr>
              <w:spacing w:before="80" w:line="214" w:lineRule="auto"/>
              <w:ind w:left="161" w:right="156"/>
              <w:rPr>
                <w:rFonts w:hint="eastAsia" w:ascii="黑体" w:hAnsi="黑体" w:eastAsia="黑体" w:cs="黑体"/>
                <w:b w:val="0"/>
                <w:bCs w:val="0"/>
                <w:sz w:val="23"/>
                <w:szCs w:val="23"/>
              </w:rPr>
            </w:pPr>
            <w:r>
              <w:rPr>
                <w:rFonts w:hint="eastAsia" w:ascii="黑体" w:hAnsi="黑体" w:eastAsia="黑体" w:cs="黑体"/>
                <w:b w:val="0"/>
                <w:bCs w:val="0"/>
                <w:spacing w:val="-6"/>
                <w:sz w:val="23"/>
                <w:szCs w:val="23"/>
              </w:rPr>
              <w:t>配套监管措施</w:t>
            </w:r>
          </w:p>
        </w:tc>
        <w:tc>
          <w:tcPr>
            <w:tcW w:w="1004" w:type="dxa"/>
            <w:vAlign w:val="top"/>
          </w:tcPr>
          <w:p>
            <w:pPr>
              <w:spacing w:before="222" w:line="221" w:lineRule="auto"/>
              <w:ind w:left="272"/>
              <w:rPr>
                <w:rFonts w:hint="eastAsia" w:ascii="黑体" w:hAnsi="黑体" w:eastAsia="黑体" w:cs="黑体"/>
                <w:b w:val="0"/>
                <w:bCs w:val="0"/>
                <w:sz w:val="23"/>
                <w:szCs w:val="23"/>
              </w:rPr>
            </w:pPr>
            <w:r>
              <w:rPr>
                <w:rFonts w:hint="eastAsia" w:ascii="黑体" w:hAnsi="黑体" w:eastAsia="黑体" w:cs="黑体"/>
                <w:b w:val="0"/>
                <w:bCs w:val="0"/>
                <w:spacing w:val="-6"/>
                <w:sz w:val="23"/>
                <w:szCs w:val="23"/>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6" w:hRule="atLeast"/>
        </w:trPr>
        <w:tc>
          <w:tcPr>
            <w:tcW w:w="395" w:type="dxa"/>
            <w:vAlign w:val="center"/>
          </w:tcPr>
          <w:p>
            <w:pPr>
              <w:spacing w:before="75" w:line="210" w:lineRule="auto"/>
              <w:ind w:left="114" w:right="48"/>
              <w:jc w:val="both"/>
              <w:rPr>
                <w:rFonts w:ascii="宋体" w:hAnsi="宋体" w:eastAsia="宋体" w:cs="宋体"/>
                <w:spacing w:val="25"/>
                <w:sz w:val="21"/>
                <w:szCs w:val="21"/>
              </w:rPr>
            </w:pPr>
            <w:r>
              <w:rPr>
                <w:rFonts w:ascii="宋体" w:hAnsi="宋体" w:eastAsia="宋体" w:cs="宋体"/>
                <w:spacing w:val="25"/>
                <w:sz w:val="21"/>
                <w:szCs w:val="21"/>
              </w:rPr>
              <w:t>3</w:t>
            </w:r>
          </w:p>
        </w:tc>
        <w:tc>
          <w:tcPr>
            <w:tcW w:w="1559" w:type="dxa"/>
            <w:vAlign w:val="center"/>
          </w:tcPr>
          <w:p>
            <w:pPr>
              <w:spacing w:before="75" w:line="210" w:lineRule="auto"/>
              <w:ind w:left="114" w:right="48"/>
              <w:jc w:val="both"/>
              <w:rPr>
                <w:rFonts w:ascii="宋体" w:hAnsi="宋体" w:eastAsia="宋体" w:cs="宋体"/>
                <w:spacing w:val="25"/>
                <w:sz w:val="21"/>
                <w:szCs w:val="21"/>
              </w:rPr>
            </w:pPr>
            <w:r>
              <w:rPr>
                <w:rFonts w:ascii="宋体" w:hAnsi="宋体" w:eastAsia="宋体" w:cs="宋体"/>
                <w:spacing w:val="25"/>
                <w:sz w:val="21"/>
                <w:szCs w:val="21"/>
              </w:rPr>
              <w:t>将“驰名商标”字样用于商品、商品包装或者容器上，或者用于广告宣传、展览以及其他商业活动中的行政处罚</w:t>
            </w:r>
          </w:p>
        </w:tc>
        <w:tc>
          <w:tcPr>
            <w:tcW w:w="3927" w:type="dxa"/>
            <w:vAlign w:val="center"/>
          </w:tcPr>
          <w:p>
            <w:pPr>
              <w:spacing w:before="75" w:line="210" w:lineRule="auto"/>
              <w:ind w:left="114" w:right="48"/>
              <w:jc w:val="both"/>
              <w:rPr>
                <w:rFonts w:ascii="宋体" w:hAnsi="宋体" w:eastAsia="宋体" w:cs="宋体"/>
                <w:spacing w:val="25"/>
                <w:sz w:val="21"/>
                <w:szCs w:val="21"/>
              </w:rPr>
            </w:pPr>
            <w:r>
              <w:rPr>
                <w:rFonts w:ascii="宋体" w:hAnsi="宋体" w:eastAsia="宋体" w:cs="宋体"/>
                <w:spacing w:val="25"/>
                <w:sz w:val="21"/>
                <w:szCs w:val="21"/>
              </w:rPr>
              <w:t>《中华人民共和国商标法》第五十三条：违反本法第十四条第五款规定的，由地方工商行政管理部门责令改正，处十万元罚款。第十四条第五款：生产、经营者不得将“驰名商标”字样用于商品、商品包装或者容器上，或者用于广告宣传、展览以及其他商业活动中。</w:t>
            </w:r>
          </w:p>
        </w:tc>
        <w:tc>
          <w:tcPr>
            <w:tcW w:w="3048" w:type="dxa"/>
            <w:vAlign w:val="center"/>
          </w:tcPr>
          <w:p>
            <w:pPr>
              <w:spacing w:before="75" w:line="210" w:lineRule="auto"/>
              <w:ind w:left="114" w:right="48"/>
              <w:jc w:val="both"/>
              <w:rPr>
                <w:rFonts w:ascii="宋体" w:hAnsi="宋体" w:eastAsia="宋体" w:cs="宋体"/>
                <w:spacing w:val="25"/>
                <w:sz w:val="21"/>
                <w:szCs w:val="21"/>
              </w:rPr>
            </w:pPr>
            <w:r>
              <w:rPr>
                <w:rFonts w:ascii="宋体" w:hAnsi="宋体" w:eastAsia="宋体" w:cs="宋体"/>
                <w:spacing w:val="25"/>
                <w:sz w:val="21"/>
                <w:szCs w:val="21"/>
              </w:rPr>
              <w:t>在网站上或其他经营活动中，对商标获得驰名商标保护的记录做事实性陈述时，故意突出“驰名商标”字样，构成广告宣传、展览等违法行为，违法行为持续时间较短、点击率或阅读量较低，经营规模较小，且存在以下情形之一：1.初次违法；2.主动改正；3.主动消除或者减轻违法行为危害后果的；4.配合市场监管部门调查；5.行政处罚裁量基准明确的其他可以减轻处罚的情形。</w:t>
            </w:r>
          </w:p>
        </w:tc>
        <w:tc>
          <w:tcPr>
            <w:tcW w:w="2099" w:type="dxa"/>
            <w:vAlign w:val="center"/>
          </w:tcPr>
          <w:p>
            <w:pPr>
              <w:spacing w:before="75" w:line="210" w:lineRule="auto"/>
              <w:ind w:left="114" w:right="48"/>
              <w:jc w:val="both"/>
              <w:rPr>
                <w:rFonts w:ascii="宋体" w:hAnsi="宋体" w:eastAsia="宋体" w:cs="宋体"/>
                <w:spacing w:val="25"/>
                <w:sz w:val="21"/>
                <w:szCs w:val="21"/>
              </w:rPr>
            </w:pPr>
            <w:r>
              <w:rPr>
                <w:rFonts w:ascii="宋体" w:hAnsi="宋体" w:eastAsia="宋体" w:cs="宋体"/>
                <w:spacing w:val="25"/>
                <w:sz w:val="21"/>
                <w:szCs w:val="21"/>
              </w:rPr>
              <w:t>《行政处罚法》第五条第二款：设定和实施行政处罚必须以事实为依据，与违法行为的事实、性质、情节以及社会危害程度相当。</w:t>
            </w:r>
          </w:p>
        </w:tc>
        <w:tc>
          <w:tcPr>
            <w:tcW w:w="1679" w:type="dxa"/>
            <w:vAlign w:val="center"/>
          </w:tcPr>
          <w:p>
            <w:pPr>
              <w:spacing w:before="75" w:line="210" w:lineRule="auto"/>
              <w:ind w:left="114" w:right="48"/>
              <w:jc w:val="both"/>
              <w:rPr>
                <w:rFonts w:ascii="宋体" w:hAnsi="宋体" w:eastAsia="宋体" w:cs="宋体"/>
                <w:spacing w:val="25"/>
                <w:sz w:val="21"/>
                <w:szCs w:val="21"/>
              </w:rPr>
            </w:pPr>
            <w:r>
              <w:rPr>
                <w:rFonts w:ascii="宋体" w:hAnsi="宋体" w:eastAsia="宋体" w:cs="宋体"/>
                <w:spacing w:val="25"/>
                <w:sz w:val="21"/>
                <w:szCs w:val="21"/>
              </w:rPr>
              <w:t>罚款的数额一般为3万以下。</w:t>
            </w:r>
          </w:p>
        </w:tc>
        <w:tc>
          <w:tcPr>
            <w:tcW w:w="1009" w:type="dxa"/>
            <w:vAlign w:val="center"/>
          </w:tcPr>
          <w:p>
            <w:pPr>
              <w:spacing w:before="75" w:line="210" w:lineRule="auto"/>
              <w:ind w:left="114" w:right="48"/>
              <w:jc w:val="both"/>
              <w:rPr>
                <w:rFonts w:ascii="宋体" w:hAnsi="宋体" w:eastAsia="宋体" w:cs="宋体"/>
                <w:spacing w:val="25"/>
                <w:sz w:val="21"/>
                <w:szCs w:val="21"/>
              </w:rPr>
            </w:pPr>
            <w:r>
              <w:rPr>
                <w:rFonts w:ascii="宋体" w:hAnsi="宋体" w:eastAsia="宋体" w:cs="宋体"/>
                <w:spacing w:val="25"/>
                <w:sz w:val="21"/>
                <w:szCs w:val="21"/>
              </w:rPr>
              <w:t>批评教</w:t>
            </w:r>
            <w:r>
              <w:rPr>
                <w:rFonts w:ascii="宋体" w:hAnsi="宋体" w:eastAsia="宋体" w:cs="宋体"/>
                <w:spacing w:val="25"/>
                <w:sz w:val="21"/>
                <w:szCs w:val="21"/>
              </w:rPr>
              <w:t>育、告诫约谈。</w:t>
            </w:r>
          </w:p>
        </w:tc>
        <w:tc>
          <w:tcPr>
            <w:tcW w:w="1004" w:type="dxa"/>
            <w:vAlign w:val="center"/>
          </w:tcPr>
          <w:p>
            <w:pPr>
              <w:jc w:val="both"/>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0" w:hRule="atLeast"/>
        </w:trPr>
        <w:tc>
          <w:tcPr>
            <w:tcW w:w="395" w:type="dxa"/>
            <w:vAlign w:val="center"/>
          </w:tcPr>
          <w:p>
            <w:pPr>
              <w:spacing w:before="75" w:line="210" w:lineRule="auto"/>
              <w:ind w:left="114" w:right="48"/>
              <w:jc w:val="both"/>
              <w:rPr>
                <w:rFonts w:ascii="宋体" w:hAnsi="宋体" w:eastAsia="宋体" w:cs="宋体"/>
                <w:spacing w:val="25"/>
                <w:sz w:val="21"/>
                <w:szCs w:val="21"/>
              </w:rPr>
            </w:pPr>
            <w:r>
              <w:rPr>
                <w:rFonts w:ascii="宋体" w:hAnsi="宋体" w:eastAsia="宋体" w:cs="宋体"/>
                <w:spacing w:val="25"/>
                <w:sz w:val="21"/>
                <w:szCs w:val="21"/>
              </w:rPr>
              <w:t>4</w:t>
            </w:r>
          </w:p>
        </w:tc>
        <w:tc>
          <w:tcPr>
            <w:tcW w:w="1559" w:type="dxa"/>
            <w:vAlign w:val="center"/>
          </w:tcPr>
          <w:p>
            <w:pPr>
              <w:spacing w:before="75" w:line="210" w:lineRule="auto"/>
              <w:ind w:left="114" w:right="48"/>
              <w:jc w:val="both"/>
              <w:rPr>
                <w:rFonts w:ascii="宋体" w:hAnsi="宋体" w:eastAsia="宋体" w:cs="宋体"/>
                <w:spacing w:val="25"/>
                <w:sz w:val="21"/>
                <w:szCs w:val="21"/>
              </w:rPr>
            </w:pPr>
            <w:r>
              <w:rPr>
                <w:rFonts w:ascii="宋体" w:hAnsi="宋体" w:eastAsia="宋体" w:cs="宋体"/>
                <w:spacing w:val="25"/>
                <w:sz w:val="21"/>
                <w:szCs w:val="21"/>
              </w:rPr>
              <w:t>广告中使用“国家级”“最高级”</w:t>
            </w:r>
            <w:r>
              <w:rPr>
                <w:rFonts w:ascii="宋体" w:hAnsi="宋体" w:eastAsia="宋体" w:cs="宋体"/>
                <w:spacing w:val="25"/>
                <w:sz w:val="21"/>
                <w:szCs w:val="21"/>
              </w:rPr>
              <w:t>“最佳”等用语的行为的行政处罚</w:t>
            </w:r>
          </w:p>
        </w:tc>
        <w:tc>
          <w:tcPr>
            <w:tcW w:w="3927" w:type="dxa"/>
            <w:vAlign w:val="center"/>
          </w:tcPr>
          <w:p>
            <w:pPr>
              <w:spacing w:before="75" w:line="210" w:lineRule="auto"/>
              <w:ind w:left="114" w:right="48"/>
              <w:jc w:val="both"/>
              <w:rPr>
                <w:rFonts w:ascii="宋体" w:hAnsi="宋体" w:eastAsia="宋体" w:cs="宋体"/>
                <w:spacing w:val="25"/>
                <w:sz w:val="21"/>
                <w:szCs w:val="21"/>
              </w:rPr>
            </w:pPr>
            <w:r>
              <w:rPr>
                <w:rFonts w:ascii="宋体" w:hAnsi="宋体" w:eastAsia="宋体" w:cs="宋体"/>
                <w:spacing w:val="25"/>
                <w:sz w:val="21"/>
                <w:szCs w:val="21"/>
              </w:rPr>
              <w:t>《中华人民共和国广告法》第五十七条：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一)发布有本法第九条、第十条规定的禁止情形的广告的。第九条：广告不得有下列情形：(3)使用“国家级”、“最高级”、“最佳”等用语。</w:t>
            </w:r>
          </w:p>
        </w:tc>
        <w:tc>
          <w:tcPr>
            <w:tcW w:w="3048" w:type="dxa"/>
            <w:vAlign w:val="center"/>
          </w:tcPr>
          <w:p>
            <w:pPr>
              <w:spacing w:before="75" w:line="210" w:lineRule="auto"/>
              <w:ind w:left="114" w:right="48"/>
              <w:jc w:val="both"/>
              <w:rPr>
                <w:rFonts w:ascii="宋体" w:hAnsi="宋体" w:eastAsia="宋体" w:cs="宋体"/>
                <w:spacing w:val="25"/>
                <w:sz w:val="21"/>
                <w:szCs w:val="21"/>
              </w:rPr>
            </w:pPr>
            <w:r>
              <w:rPr>
                <w:rFonts w:ascii="宋体" w:hAnsi="宋体" w:eastAsia="宋体" w:cs="宋体"/>
                <w:spacing w:val="25"/>
                <w:sz w:val="21"/>
                <w:szCs w:val="21"/>
              </w:rPr>
              <w:t>广告主在其经营场所或者利用自有媒体发布自有商品或者服务广告，点击率或阅读量较低，且存在以下情形之一：1.初次违法；2.主动改正；3.主动消除或者减轻违法行为危害后果的；4.配合市场监管部门调查；5.行政处罚裁量基准明确的其他可以减轻处罚的情形。</w:t>
            </w:r>
          </w:p>
        </w:tc>
        <w:tc>
          <w:tcPr>
            <w:tcW w:w="2099" w:type="dxa"/>
            <w:vAlign w:val="center"/>
          </w:tcPr>
          <w:p>
            <w:pPr>
              <w:spacing w:before="75" w:line="210" w:lineRule="auto"/>
              <w:ind w:left="114" w:right="48"/>
              <w:jc w:val="both"/>
              <w:rPr>
                <w:rFonts w:ascii="宋体" w:hAnsi="宋体" w:eastAsia="宋体" w:cs="宋体"/>
                <w:spacing w:val="25"/>
                <w:sz w:val="21"/>
                <w:szCs w:val="21"/>
              </w:rPr>
            </w:pPr>
            <w:r>
              <w:rPr>
                <w:rFonts w:ascii="宋体" w:hAnsi="宋体" w:eastAsia="宋体" w:cs="宋体"/>
                <w:spacing w:val="25"/>
                <w:sz w:val="21"/>
                <w:szCs w:val="21"/>
              </w:rPr>
              <w:t>《行政处罚法》第五条第二款：设定和实施行政处罚必须以事实为依据，与违法行为的事实、性质、情节以及社会危害程度相当。</w:t>
            </w:r>
          </w:p>
        </w:tc>
        <w:tc>
          <w:tcPr>
            <w:tcW w:w="1679" w:type="dxa"/>
            <w:vAlign w:val="center"/>
          </w:tcPr>
          <w:p>
            <w:pPr>
              <w:spacing w:before="75" w:line="210" w:lineRule="auto"/>
              <w:ind w:left="114" w:right="48"/>
              <w:jc w:val="both"/>
              <w:rPr>
                <w:rFonts w:ascii="宋体" w:hAnsi="宋体" w:eastAsia="宋体" w:cs="宋体"/>
                <w:spacing w:val="25"/>
                <w:sz w:val="21"/>
                <w:szCs w:val="21"/>
              </w:rPr>
            </w:pPr>
            <w:r>
              <w:rPr>
                <w:rFonts w:ascii="宋体" w:hAnsi="宋体" w:eastAsia="宋体" w:cs="宋体"/>
                <w:spacing w:val="25"/>
                <w:sz w:val="21"/>
                <w:szCs w:val="21"/>
              </w:rPr>
              <w:t>罚款的数额一般为5万以下。</w:t>
            </w:r>
          </w:p>
        </w:tc>
        <w:tc>
          <w:tcPr>
            <w:tcW w:w="1009" w:type="dxa"/>
            <w:vAlign w:val="center"/>
          </w:tcPr>
          <w:p>
            <w:pPr>
              <w:spacing w:before="75" w:line="210" w:lineRule="auto"/>
              <w:ind w:left="114" w:right="48"/>
              <w:jc w:val="both"/>
              <w:rPr>
                <w:rFonts w:ascii="宋体" w:hAnsi="宋体" w:eastAsia="宋体" w:cs="宋体"/>
                <w:spacing w:val="25"/>
                <w:sz w:val="21"/>
                <w:szCs w:val="21"/>
              </w:rPr>
            </w:pPr>
            <w:r>
              <w:rPr>
                <w:rFonts w:ascii="宋体" w:hAnsi="宋体" w:eastAsia="宋体" w:cs="宋体"/>
                <w:spacing w:val="25"/>
                <w:sz w:val="21"/>
                <w:szCs w:val="21"/>
              </w:rPr>
              <w:t>批评教</w:t>
            </w:r>
            <w:r>
              <w:rPr>
                <w:rFonts w:ascii="宋体" w:hAnsi="宋体" w:eastAsia="宋体" w:cs="宋体"/>
                <w:spacing w:val="25"/>
                <w:sz w:val="21"/>
                <w:szCs w:val="21"/>
              </w:rPr>
              <w:t>育、告诫约谈。</w:t>
            </w:r>
          </w:p>
        </w:tc>
        <w:tc>
          <w:tcPr>
            <w:tcW w:w="1004" w:type="dxa"/>
            <w:vAlign w:val="center"/>
          </w:tcPr>
          <w:p>
            <w:pPr>
              <w:jc w:val="both"/>
              <w:rPr>
                <w:rFonts w:ascii="Arial"/>
                <w:sz w:val="21"/>
              </w:rPr>
            </w:pPr>
          </w:p>
        </w:tc>
      </w:tr>
    </w:tbl>
    <w:p/>
    <w:p>
      <w:pPr>
        <w:spacing w:line="100" w:lineRule="exact"/>
      </w:pPr>
    </w:p>
    <w:tbl>
      <w:tblPr>
        <w:tblStyle w:val="8"/>
        <w:tblW w:w="14720" w:type="dxa"/>
        <w:tblInd w:w="4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5"/>
        <w:gridCol w:w="1559"/>
        <w:gridCol w:w="3917"/>
        <w:gridCol w:w="3058"/>
        <w:gridCol w:w="2099"/>
        <w:gridCol w:w="1689"/>
        <w:gridCol w:w="1009"/>
        <w:gridCol w:w="9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395" w:type="dxa"/>
            <w:textDirection w:val="tbRlV"/>
            <w:vAlign w:val="top"/>
          </w:tcPr>
          <w:p>
            <w:pPr>
              <w:spacing w:before="80" w:line="217" w:lineRule="auto"/>
              <w:ind w:left="72"/>
              <w:rPr>
                <w:rFonts w:hint="eastAsia" w:ascii="黑体" w:hAnsi="黑体" w:eastAsia="黑体" w:cs="黑体"/>
                <w:b w:val="0"/>
                <w:bCs w:val="0"/>
                <w:sz w:val="24"/>
                <w:szCs w:val="24"/>
              </w:rPr>
            </w:pPr>
            <w:r>
              <w:rPr>
                <w:rFonts w:hint="eastAsia" w:ascii="黑体" w:hAnsi="黑体" w:eastAsia="黑体" w:cs="黑体"/>
                <w:b w:val="0"/>
                <w:bCs w:val="0"/>
                <w:sz w:val="24"/>
                <w:szCs w:val="24"/>
              </w:rPr>
              <w:t>序号</w:t>
            </w:r>
          </w:p>
        </w:tc>
        <w:tc>
          <w:tcPr>
            <w:tcW w:w="1559" w:type="dxa"/>
            <w:vAlign w:val="top"/>
          </w:tcPr>
          <w:p>
            <w:pPr>
              <w:spacing w:before="212" w:line="220" w:lineRule="auto"/>
              <w:ind w:left="293"/>
              <w:rPr>
                <w:rFonts w:hint="eastAsia" w:ascii="黑体" w:hAnsi="黑体" w:eastAsia="黑体" w:cs="黑体"/>
                <w:b w:val="0"/>
                <w:bCs w:val="0"/>
                <w:sz w:val="24"/>
                <w:szCs w:val="24"/>
              </w:rPr>
            </w:pPr>
            <w:r>
              <w:rPr>
                <w:rFonts w:hint="eastAsia" w:ascii="黑体" w:hAnsi="黑体" w:eastAsia="黑体" w:cs="黑体"/>
                <w:b w:val="0"/>
                <w:bCs w:val="0"/>
                <w:spacing w:val="-5"/>
                <w:sz w:val="24"/>
                <w:szCs w:val="24"/>
              </w:rPr>
              <w:t>事项名称</w:t>
            </w:r>
          </w:p>
        </w:tc>
        <w:tc>
          <w:tcPr>
            <w:tcW w:w="3917" w:type="dxa"/>
            <w:vAlign w:val="top"/>
          </w:tcPr>
          <w:p>
            <w:pPr>
              <w:spacing w:before="210" w:line="219" w:lineRule="auto"/>
              <w:ind w:left="1484"/>
              <w:rPr>
                <w:rFonts w:hint="eastAsia" w:ascii="黑体" w:hAnsi="黑体" w:eastAsia="黑体" w:cs="黑体"/>
                <w:b w:val="0"/>
                <w:bCs w:val="0"/>
                <w:sz w:val="24"/>
                <w:szCs w:val="24"/>
              </w:rPr>
            </w:pPr>
            <w:r>
              <w:rPr>
                <w:rFonts w:hint="eastAsia" w:ascii="黑体" w:hAnsi="黑体" w:eastAsia="黑体" w:cs="黑体"/>
                <w:b w:val="0"/>
                <w:bCs w:val="0"/>
                <w:spacing w:val="-1"/>
                <w:sz w:val="24"/>
                <w:szCs w:val="24"/>
              </w:rPr>
              <w:t>设定依据</w:t>
            </w:r>
          </w:p>
        </w:tc>
        <w:tc>
          <w:tcPr>
            <w:tcW w:w="3058" w:type="dxa"/>
            <w:vAlign w:val="top"/>
          </w:tcPr>
          <w:p>
            <w:pPr>
              <w:spacing w:before="212" w:line="220" w:lineRule="auto"/>
              <w:ind w:left="1047"/>
              <w:rPr>
                <w:rFonts w:hint="eastAsia" w:ascii="黑体" w:hAnsi="黑体" w:eastAsia="黑体" w:cs="黑体"/>
                <w:b w:val="0"/>
                <w:bCs w:val="0"/>
                <w:sz w:val="24"/>
                <w:szCs w:val="24"/>
              </w:rPr>
            </w:pPr>
            <w:r>
              <w:rPr>
                <w:rFonts w:hint="eastAsia" w:ascii="黑体" w:hAnsi="黑体" w:eastAsia="黑体" w:cs="黑体"/>
                <w:b w:val="0"/>
                <w:bCs w:val="0"/>
                <w:spacing w:val="-5"/>
                <w:sz w:val="24"/>
                <w:szCs w:val="24"/>
              </w:rPr>
              <w:t>适用情形</w:t>
            </w:r>
          </w:p>
        </w:tc>
        <w:tc>
          <w:tcPr>
            <w:tcW w:w="2099" w:type="dxa"/>
            <w:vAlign w:val="top"/>
          </w:tcPr>
          <w:p>
            <w:pPr>
              <w:spacing w:before="210" w:line="219" w:lineRule="auto"/>
              <w:ind w:left="349"/>
              <w:rPr>
                <w:rFonts w:hint="eastAsia" w:ascii="黑体" w:hAnsi="黑体" w:eastAsia="黑体" w:cs="黑体"/>
                <w:b w:val="0"/>
                <w:bCs w:val="0"/>
                <w:sz w:val="24"/>
                <w:szCs w:val="24"/>
              </w:rPr>
            </w:pPr>
            <w:r>
              <w:rPr>
                <w:rFonts w:hint="eastAsia" w:ascii="黑体" w:hAnsi="黑体" w:eastAsia="黑体" w:cs="黑体"/>
                <w:b w:val="0"/>
                <w:bCs w:val="0"/>
                <w:spacing w:val="-4"/>
                <w:sz w:val="24"/>
                <w:szCs w:val="24"/>
              </w:rPr>
              <w:t>减轻处罚依据</w:t>
            </w:r>
          </w:p>
        </w:tc>
        <w:tc>
          <w:tcPr>
            <w:tcW w:w="1689" w:type="dxa"/>
            <w:vAlign w:val="top"/>
          </w:tcPr>
          <w:p>
            <w:pPr>
              <w:spacing w:before="209" w:line="218" w:lineRule="auto"/>
              <w:ind w:left="360"/>
              <w:rPr>
                <w:rFonts w:hint="eastAsia" w:ascii="黑体" w:hAnsi="黑体" w:eastAsia="黑体" w:cs="黑体"/>
                <w:b w:val="0"/>
                <w:bCs w:val="0"/>
                <w:sz w:val="24"/>
                <w:szCs w:val="24"/>
              </w:rPr>
            </w:pPr>
            <w:r>
              <w:rPr>
                <w:rFonts w:hint="eastAsia" w:ascii="黑体" w:hAnsi="黑体" w:eastAsia="黑体" w:cs="黑体"/>
                <w:b w:val="0"/>
                <w:bCs w:val="0"/>
                <w:spacing w:val="-5"/>
                <w:sz w:val="24"/>
                <w:szCs w:val="24"/>
              </w:rPr>
              <w:t>裁量幅度</w:t>
            </w:r>
          </w:p>
        </w:tc>
        <w:tc>
          <w:tcPr>
            <w:tcW w:w="1009" w:type="dxa"/>
            <w:vAlign w:val="top"/>
          </w:tcPr>
          <w:p>
            <w:pPr>
              <w:spacing w:before="62" w:line="213" w:lineRule="auto"/>
              <w:ind w:left="121" w:right="76" w:firstLine="90"/>
              <w:rPr>
                <w:rFonts w:hint="eastAsia" w:ascii="黑体" w:hAnsi="黑体" w:eastAsia="黑体" w:cs="黑体"/>
                <w:b w:val="0"/>
                <w:bCs w:val="0"/>
                <w:sz w:val="24"/>
                <w:szCs w:val="24"/>
              </w:rPr>
            </w:pPr>
            <w:r>
              <w:rPr>
                <w:rFonts w:hint="eastAsia" w:ascii="黑体" w:hAnsi="黑体" w:eastAsia="黑体" w:cs="黑体"/>
                <w:b w:val="0"/>
                <w:bCs w:val="0"/>
                <w:spacing w:val="-6"/>
                <w:sz w:val="24"/>
                <w:szCs w:val="24"/>
              </w:rPr>
              <w:t>配套监管措施</w:t>
            </w:r>
          </w:p>
        </w:tc>
        <w:tc>
          <w:tcPr>
            <w:tcW w:w="994" w:type="dxa"/>
            <w:vAlign w:val="top"/>
          </w:tcPr>
          <w:p>
            <w:pPr>
              <w:spacing w:before="212" w:line="221" w:lineRule="auto"/>
              <w:ind w:left="252"/>
              <w:rPr>
                <w:rFonts w:hint="eastAsia" w:ascii="黑体" w:hAnsi="黑体" w:eastAsia="黑体" w:cs="黑体"/>
                <w:b w:val="0"/>
                <w:bCs w:val="0"/>
                <w:sz w:val="24"/>
                <w:szCs w:val="24"/>
              </w:rPr>
            </w:pPr>
            <w:r>
              <w:rPr>
                <w:rFonts w:hint="eastAsia" w:ascii="黑体" w:hAnsi="黑体" w:eastAsia="黑体" w:cs="黑体"/>
                <w:b w:val="0"/>
                <w:bCs w:val="0"/>
                <w:spacing w:val="-6"/>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7" w:hRule="atLeast"/>
        </w:trPr>
        <w:tc>
          <w:tcPr>
            <w:tcW w:w="395" w:type="dxa"/>
            <w:vAlign w:val="center"/>
          </w:tcPr>
          <w:p>
            <w:pPr>
              <w:spacing w:before="75" w:line="210" w:lineRule="auto"/>
              <w:ind w:left="114" w:right="48"/>
              <w:jc w:val="both"/>
              <w:rPr>
                <w:rFonts w:ascii="宋体" w:hAnsi="宋体" w:eastAsia="宋体" w:cs="宋体"/>
                <w:spacing w:val="25"/>
                <w:sz w:val="21"/>
                <w:szCs w:val="21"/>
              </w:rPr>
            </w:pPr>
            <w:r>
              <w:rPr>
                <w:rFonts w:ascii="宋体" w:hAnsi="宋体" w:eastAsia="宋体" w:cs="宋体"/>
                <w:spacing w:val="25"/>
                <w:sz w:val="21"/>
                <w:szCs w:val="21"/>
              </w:rPr>
              <w:t>5</w:t>
            </w:r>
          </w:p>
        </w:tc>
        <w:tc>
          <w:tcPr>
            <w:tcW w:w="1559" w:type="dxa"/>
            <w:vAlign w:val="center"/>
          </w:tcPr>
          <w:p>
            <w:pPr>
              <w:spacing w:before="75" w:line="210" w:lineRule="auto"/>
              <w:ind w:left="114" w:right="48"/>
              <w:jc w:val="both"/>
              <w:rPr>
                <w:rFonts w:ascii="宋体" w:hAnsi="宋体" w:eastAsia="宋体" w:cs="宋体"/>
                <w:spacing w:val="25"/>
                <w:sz w:val="21"/>
                <w:szCs w:val="21"/>
              </w:rPr>
            </w:pPr>
            <w:r>
              <w:rPr>
                <w:rFonts w:ascii="宋体" w:hAnsi="宋体" w:eastAsia="宋体" w:cs="宋体"/>
                <w:spacing w:val="25"/>
                <w:sz w:val="21"/>
                <w:szCs w:val="21"/>
              </w:rPr>
              <w:t>出版物使用非法定计量单位的行政处罚</w:t>
            </w:r>
          </w:p>
        </w:tc>
        <w:tc>
          <w:tcPr>
            <w:tcW w:w="3917" w:type="dxa"/>
            <w:vAlign w:val="center"/>
          </w:tcPr>
          <w:p>
            <w:pPr>
              <w:spacing w:before="75" w:line="210" w:lineRule="auto"/>
              <w:ind w:left="114" w:right="48"/>
              <w:jc w:val="both"/>
              <w:rPr>
                <w:rFonts w:ascii="宋体" w:hAnsi="宋体" w:eastAsia="宋体" w:cs="宋体"/>
                <w:spacing w:val="25"/>
                <w:sz w:val="21"/>
                <w:szCs w:val="21"/>
              </w:rPr>
            </w:pPr>
            <w:r>
              <w:rPr>
                <w:rFonts w:ascii="宋体" w:hAnsi="宋体" w:eastAsia="宋体" w:cs="宋体"/>
                <w:spacing w:val="25"/>
                <w:sz w:val="21"/>
                <w:szCs w:val="21"/>
              </w:rPr>
              <w:t>《中华人民共和国计量法实施细则》第四十条：违反本细则第二条规定，使用非法定计量单位的，责令其改正；属出版物的，责令其停止销售，可并处1000元以下的罚款。</w:t>
            </w:r>
          </w:p>
        </w:tc>
        <w:tc>
          <w:tcPr>
            <w:tcW w:w="3058" w:type="dxa"/>
            <w:vAlign w:val="center"/>
          </w:tcPr>
          <w:p>
            <w:pPr>
              <w:spacing w:before="75" w:line="210" w:lineRule="auto"/>
              <w:ind w:left="114" w:right="48"/>
              <w:jc w:val="both"/>
              <w:rPr>
                <w:rFonts w:ascii="宋体" w:hAnsi="宋体" w:eastAsia="宋体" w:cs="宋体"/>
                <w:spacing w:val="25"/>
                <w:sz w:val="21"/>
                <w:szCs w:val="21"/>
              </w:rPr>
            </w:pPr>
            <w:r>
              <w:rPr>
                <w:rFonts w:ascii="宋体" w:hAnsi="宋体" w:eastAsia="宋体" w:cs="宋体"/>
                <w:spacing w:val="25"/>
                <w:sz w:val="21"/>
                <w:szCs w:val="21"/>
              </w:rPr>
              <w:t>具有以下情形之一：1.初次违法；2.主动改正；3.主动消除或者减轻违法行为危害后果的；4.配合市场监管部门调查；5.行政处罚裁量基准明确的其他可以减轻处罚的情形。</w:t>
            </w:r>
          </w:p>
        </w:tc>
        <w:tc>
          <w:tcPr>
            <w:tcW w:w="2099" w:type="dxa"/>
            <w:vAlign w:val="center"/>
          </w:tcPr>
          <w:p>
            <w:pPr>
              <w:spacing w:before="75" w:line="210" w:lineRule="auto"/>
              <w:ind w:left="114" w:right="48"/>
              <w:jc w:val="both"/>
              <w:rPr>
                <w:rFonts w:ascii="宋体" w:hAnsi="宋体" w:eastAsia="宋体" w:cs="宋体"/>
                <w:spacing w:val="25"/>
                <w:sz w:val="21"/>
                <w:szCs w:val="21"/>
              </w:rPr>
            </w:pPr>
            <w:r>
              <w:rPr>
                <w:rFonts w:ascii="宋体" w:hAnsi="宋体" w:eastAsia="宋体" w:cs="宋体"/>
                <w:spacing w:val="25"/>
                <w:sz w:val="21"/>
                <w:szCs w:val="21"/>
              </w:rPr>
              <w:t>《行政处罚法》第五条第二款：设定和实施行政处罚必须以事实为依据，与违法行为的事实、性质、情节以及社会危害程度相当。</w:t>
            </w:r>
          </w:p>
        </w:tc>
        <w:tc>
          <w:tcPr>
            <w:tcW w:w="1689" w:type="dxa"/>
            <w:vAlign w:val="center"/>
          </w:tcPr>
          <w:p>
            <w:pPr>
              <w:spacing w:before="75" w:line="210" w:lineRule="auto"/>
              <w:ind w:left="114" w:right="48"/>
              <w:jc w:val="both"/>
              <w:rPr>
                <w:rFonts w:ascii="宋体" w:hAnsi="宋体" w:eastAsia="宋体" w:cs="宋体"/>
                <w:spacing w:val="25"/>
                <w:sz w:val="21"/>
                <w:szCs w:val="21"/>
              </w:rPr>
            </w:pPr>
            <w:r>
              <w:rPr>
                <w:rFonts w:ascii="宋体" w:hAnsi="宋体" w:eastAsia="宋体" w:cs="宋体"/>
                <w:spacing w:val="25"/>
                <w:sz w:val="21"/>
                <w:szCs w:val="21"/>
              </w:rPr>
              <w:t>责令停止销售，不予罚款。</w:t>
            </w:r>
          </w:p>
        </w:tc>
        <w:tc>
          <w:tcPr>
            <w:tcW w:w="1009" w:type="dxa"/>
            <w:vAlign w:val="center"/>
          </w:tcPr>
          <w:p>
            <w:pPr>
              <w:spacing w:before="75" w:line="210" w:lineRule="auto"/>
              <w:ind w:left="114" w:right="48"/>
              <w:jc w:val="both"/>
              <w:rPr>
                <w:rFonts w:ascii="宋体" w:hAnsi="宋体" w:eastAsia="宋体" w:cs="宋体"/>
                <w:spacing w:val="25"/>
                <w:sz w:val="21"/>
                <w:szCs w:val="21"/>
              </w:rPr>
            </w:pPr>
            <w:r>
              <w:rPr>
                <w:rFonts w:ascii="宋体" w:hAnsi="宋体" w:eastAsia="宋体" w:cs="宋体"/>
                <w:spacing w:val="25"/>
                <w:sz w:val="21"/>
                <w:szCs w:val="21"/>
              </w:rPr>
              <w:t>批评教育、告诫约谈。</w:t>
            </w:r>
          </w:p>
        </w:tc>
        <w:tc>
          <w:tcPr>
            <w:tcW w:w="994" w:type="dxa"/>
            <w:vAlign w:val="center"/>
          </w:tcPr>
          <w:p>
            <w:pPr>
              <w:jc w:val="both"/>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7" w:hRule="atLeast"/>
        </w:trPr>
        <w:tc>
          <w:tcPr>
            <w:tcW w:w="395" w:type="dxa"/>
            <w:vAlign w:val="center"/>
          </w:tcPr>
          <w:p>
            <w:pPr>
              <w:spacing w:before="75" w:line="210" w:lineRule="auto"/>
              <w:ind w:left="114" w:right="48"/>
              <w:jc w:val="both"/>
              <w:rPr>
                <w:rFonts w:ascii="宋体" w:hAnsi="宋体" w:eastAsia="宋体" w:cs="宋体"/>
                <w:spacing w:val="25"/>
                <w:sz w:val="21"/>
                <w:szCs w:val="21"/>
              </w:rPr>
            </w:pPr>
            <w:r>
              <w:rPr>
                <w:rFonts w:ascii="宋体" w:hAnsi="宋体" w:eastAsia="宋体" w:cs="宋体"/>
                <w:spacing w:val="25"/>
                <w:sz w:val="21"/>
                <w:szCs w:val="21"/>
              </w:rPr>
              <w:t>6</w:t>
            </w:r>
          </w:p>
        </w:tc>
        <w:tc>
          <w:tcPr>
            <w:tcW w:w="1559" w:type="dxa"/>
            <w:vAlign w:val="center"/>
          </w:tcPr>
          <w:p>
            <w:pPr>
              <w:spacing w:before="75" w:line="210" w:lineRule="auto"/>
              <w:ind w:left="114" w:right="48"/>
              <w:jc w:val="both"/>
              <w:rPr>
                <w:rFonts w:ascii="宋体" w:hAnsi="宋体" w:eastAsia="宋体" w:cs="宋体"/>
                <w:spacing w:val="25"/>
                <w:sz w:val="21"/>
                <w:szCs w:val="21"/>
              </w:rPr>
            </w:pPr>
            <w:r>
              <w:rPr>
                <w:rFonts w:ascii="宋体" w:hAnsi="宋体" w:eastAsia="宋体" w:cs="宋体"/>
                <w:spacing w:val="25"/>
                <w:sz w:val="21"/>
                <w:szCs w:val="21"/>
              </w:rPr>
              <w:t>对违反明码标价规定的行为的行政处罚</w:t>
            </w:r>
          </w:p>
        </w:tc>
        <w:tc>
          <w:tcPr>
            <w:tcW w:w="3917" w:type="dxa"/>
            <w:vAlign w:val="center"/>
          </w:tcPr>
          <w:p>
            <w:pPr>
              <w:spacing w:before="75" w:line="210" w:lineRule="auto"/>
              <w:ind w:left="114" w:right="48"/>
              <w:jc w:val="both"/>
              <w:rPr>
                <w:rFonts w:ascii="宋体" w:hAnsi="宋体" w:eastAsia="宋体" w:cs="宋体"/>
                <w:spacing w:val="25"/>
                <w:sz w:val="21"/>
                <w:szCs w:val="21"/>
              </w:rPr>
            </w:pPr>
            <w:r>
              <w:rPr>
                <w:rFonts w:ascii="宋体" w:hAnsi="宋体" w:eastAsia="宋体" w:cs="宋体"/>
                <w:spacing w:val="25"/>
                <w:sz w:val="21"/>
                <w:szCs w:val="21"/>
              </w:rPr>
              <w:t>《中华人民共和国价格法》第四十二条：经营者违反明码标价规定的，责令改正，没收违法所得，可以并处五千元以下的罚款。</w:t>
            </w:r>
          </w:p>
        </w:tc>
        <w:tc>
          <w:tcPr>
            <w:tcW w:w="3058" w:type="dxa"/>
            <w:vAlign w:val="center"/>
          </w:tcPr>
          <w:p>
            <w:pPr>
              <w:spacing w:before="75" w:line="210" w:lineRule="auto"/>
              <w:ind w:left="114" w:right="48"/>
              <w:jc w:val="both"/>
              <w:rPr>
                <w:rFonts w:ascii="宋体" w:hAnsi="宋体" w:eastAsia="宋体" w:cs="宋体"/>
                <w:spacing w:val="25"/>
                <w:sz w:val="21"/>
                <w:szCs w:val="21"/>
              </w:rPr>
            </w:pPr>
            <w:r>
              <w:rPr>
                <w:rFonts w:ascii="宋体" w:hAnsi="宋体" w:eastAsia="宋体" w:cs="宋体"/>
                <w:spacing w:val="25"/>
                <w:sz w:val="21"/>
                <w:szCs w:val="21"/>
              </w:rPr>
              <w:t>违法主体为个体工商户，且存在以下情形之一：1.初次违法；2.主动改正；3.主动消除或者减轻违法行为危害后果的；4.配合市场监管部门调查；5.行政处罚裁量基准明确的其他可以减轻处罚的情形。</w:t>
            </w:r>
          </w:p>
        </w:tc>
        <w:tc>
          <w:tcPr>
            <w:tcW w:w="2099" w:type="dxa"/>
            <w:vAlign w:val="center"/>
          </w:tcPr>
          <w:p>
            <w:pPr>
              <w:spacing w:before="75" w:line="210" w:lineRule="auto"/>
              <w:ind w:left="114" w:right="48"/>
              <w:jc w:val="both"/>
              <w:rPr>
                <w:rFonts w:ascii="宋体" w:hAnsi="宋体" w:eastAsia="宋体" w:cs="宋体"/>
                <w:spacing w:val="25"/>
                <w:sz w:val="21"/>
                <w:szCs w:val="21"/>
              </w:rPr>
            </w:pPr>
            <w:r>
              <w:rPr>
                <w:rFonts w:ascii="宋体" w:hAnsi="宋体" w:eastAsia="宋体" w:cs="宋体"/>
                <w:spacing w:val="25"/>
                <w:sz w:val="21"/>
                <w:szCs w:val="21"/>
              </w:rPr>
              <w:t>《行政处罚法》第五条第二款：设定和实施行政处罚必须以事实为依据，与违法行为的事实、性质、情节以及社会危害程度相当。</w:t>
            </w:r>
          </w:p>
        </w:tc>
        <w:tc>
          <w:tcPr>
            <w:tcW w:w="1689" w:type="dxa"/>
            <w:vAlign w:val="center"/>
          </w:tcPr>
          <w:p>
            <w:pPr>
              <w:spacing w:before="75" w:line="210" w:lineRule="auto"/>
              <w:ind w:left="114" w:right="48"/>
              <w:jc w:val="both"/>
              <w:rPr>
                <w:rFonts w:ascii="宋体" w:hAnsi="宋体" w:eastAsia="宋体" w:cs="宋体"/>
                <w:spacing w:val="25"/>
                <w:sz w:val="21"/>
                <w:szCs w:val="21"/>
              </w:rPr>
            </w:pPr>
            <w:r>
              <w:rPr>
                <w:rFonts w:ascii="宋体" w:hAnsi="宋体" w:eastAsia="宋体" w:cs="宋体"/>
                <w:spacing w:val="25"/>
                <w:sz w:val="21"/>
                <w:szCs w:val="21"/>
              </w:rPr>
              <w:t>有违法所得，没收违法所得；不予罚款。</w:t>
            </w:r>
          </w:p>
        </w:tc>
        <w:tc>
          <w:tcPr>
            <w:tcW w:w="1009" w:type="dxa"/>
            <w:vAlign w:val="center"/>
          </w:tcPr>
          <w:p>
            <w:pPr>
              <w:spacing w:before="75" w:line="210" w:lineRule="auto"/>
              <w:ind w:left="114" w:right="48"/>
              <w:jc w:val="both"/>
              <w:rPr>
                <w:rFonts w:ascii="宋体" w:hAnsi="宋体" w:eastAsia="宋体" w:cs="宋体"/>
                <w:spacing w:val="25"/>
                <w:sz w:val="21"/>
                <w:szCs w:val="21"/>
              </w:rPr>
            </w:pPr>
            <w:r>
              <w:rPr>
                <w:rFonts w:ascii="宋体" w:hAnsi="宋体" w:eastAsia="宋体" w:cs="宋体"/>
                <w:spacing w:val="25"/>
                <w:sz w:val="21"/>
                <w:szCs w:val="21"/>
              </w:rPr>
              <w:t>批评教育、告诫约谈。</w:t>
            </w:r>
          </w:p>
        </w:tc>
        <w:tc>
          <w:tcPr>
            <w:tcW w:w="994" w:type="dxa"/>
            <w:vAlign w:val="center"/>
          </w:tcPr>
          <w:p>
            <w:pPr>
              <w:jc w:val="both"/>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2" w:hRule="atLeast"/>
        </w:trPr>
        <w:tc>
          <w:tcPr>
            <w:tcW w:w="395" w:type="dxa"/>
            <w:vAlign w:val="center"/>
          </w:tcPr>
          <w:p>
            <w:pPr>
              <w:spacing w:before="75" w:line="210" w:lineRule="auto"/>
              <w:ind w:left="114" w:right="48"/>
              <w:jc w:val="both"/>
              <w:rPr>
                <w:rFonts w:ascii="宋体" w:hAnsi="宋体" w:eastAsia="宋体" w:cs="宋体"/>
                <w:spacing w:val="25"/>
                <w:sz w:val="21"/>
                <w:szCs w:val="21"/>
              </w:rPr>
            </w:pPr>
            <w:r>
              <w:rPr>
                <w:rFonts w:ascii="宋体" w:hAnsi="宋体" w:eastAsia="宋体" w:cs="宋体"/>
                <w:spacing w:val="25"/>
                <w:sz w:val="21"/>
                <w:szCs w:val="21"/>
              </w:rPr>
              <w:t>7</w:t>
            </w:r>
          </w:p>
        </w:tc>
        <w:tc>
          <w:tcPr>
            <w:tcW w:w="1559" w:type="dxa"/>
            <w:vAlign w:val="center"/>
          </w:tcPr>
          <w:p>
            <w:pPr>
              <w:spacing w:before="75" w:line="210" w:lineRule="auto"/>
              <w:ind w:left="114" w:right="48"/>
              <w:jc w:val="both"/>
              <w:rPr>
                <w:rFonts w:ascii="宋体" w:hAnsi="宋体" w:eastAsia="宋体" w:cs="宋体"/>
                <w:spacing w:val="25"/>
                <w:sz w:val="21"/>
                <w:szCs w:val="21"/>
              </w:rPr>
            </w:pPr>
            <w:r>
              <w:rPr>
                <w:rFonts w:ascii="宋体" w:hAnsi="宋体" w:eastAsia="宋体" w:cs="宋体"/>
                <w:spacing w:val="25"/>
                <w:sz w:val="21"/>
                <w:szCs w:val="21"/>
              </w:rPr>
              <w:t>列入目录的产品未经认证,擅自出厂、销售、进口或者在其他经营活动中使用的处罚</w:t>
            </w:r>
          </w:p>
        </w:tc>
        <w:tc>
          <w:tcPr>
            <w:tcW w:w="3917" w:type="dxa"/>
            <w:vAlign w:val="center"/>
          </w:tcPr>
          <w:p>
            <w:pPr>
              <w:spacing w:before="75" w:line="210" w:lineRule="auto"/>
              <w:ind w:left="114" w:right="48"/>
              <w:jc w:val="both"/>
              <w:rPr>
                <w:rFonts w:ascii="宋体" w:hAnsi="宋体" w:eastAsia="宋体" w:cs="宋体"/>
                <w:spacing w:val="25"/>
                <w:sz w:val="21"/>
                <w:szCs w:val="21"/>
              </w:rPr>
            </w:pPr>
            <w:r>
              <w:rPr>
                <w:rFonts w:ascii="宋体" w:hAnsi="宋体" w:eastAsia="宋体" w:cs="宋体"/>
                <w:spacing w:val="25"/>
                <w:sz w:val="21"/>
                <w:szCs w:val="21"/>
              </w:rPr>
              <w:t>《中华人民共和国认证认可条例》第六十六条：列入目录的产品未经认证，擅自出厂、销售、进口或者在其他经营活动中使用的，责令改正，处5万元以上20万元以下的罚款，有违法所得的，没收违法所得。</w:t>
            </w:r>
          </w:p>
        </w:tc>
        <w:tc>
          <w:tcPr>
            <w:tcW w:w="3058" w:type="dxa"/>
            <w:vAlign w:val="center"/>
          </w:tcPr>
          <w:p>
            <w:pPr>
              <w:spacing w:before="75" w:line="210" w:lineRule="auto"/>
              <w:ind w:left="114" w:right="48"/>
              <w:jc w:val="both"/>
              <w:rPr>
                <w:rFonts w:ascii="宋体" w:hAnsi="宋体" w:eastAsia="宋体" w:cs="宋体"/>
                <w:spacing w:val="25"/>
                <w:sz w:val="21"/>
                <w:szCs w:val="21"/>
              </w:rPr>
            </w:pPr>
            <w:r>
              <w:rPr>
                <w:rFonts w:ascii="宋体" w:hAnsi="宋体" w:eastAsia="宋体" w:cs="宋体"/>
                <w:spacing w:val="25"/>
                <w:sz w:val="21"/>
                <w:szCs w:val="21"/>
              </w:rPr>
              <w:t>销售或者在其他经营活动中使用，货值金额1万元以下，且存在以下情形之一：1.初次违法；2.主动改正；3.主动消除或者减轻违法行为危害后果的；4.配合市场监管部门调查；5.行政处罚裁量基准明确的其他可以减轻处罚的情形。</w:t>
            </w:r>
          </w:p>
        </w:tc>
        <w:tc>
          <w:tcPr>
            <w:tcW w:w="2099" w:type="dxa"/>
            <w:vAlign w:val="center"/>
          </w:tcPr>
          <w:p>
            <w:pPr>
              <w:spacing w:before="75" w:line="210" w:lineRule="auto"/>
              <w:ind w:left="114" w:right="48"/>
              <w:jc w:val="both"/>
              <w:rPr>
                <w:rFonts w:ascii="宋体" w:hAnsi="宋体" w:eastAsia="宋体" w:cs="宋体"/>
                <w:spacing w:val="25"/>
                <w:sz w:val="21"/>
                <w:szCs w:val="21"/>
              </w:rPr>
            </w:pPr>
            <w:r>
              <w:rPr>
                <w:rFonts w:ascii="宋体" w:hAnsi="宋体" w:eastAsia="宋体" w:cs="宋体"/>
                <w:spacing w:val="25"/>
                <w:sz w:val="21"/>
                <w:szCs w:val="21"/>
              </w:rPr>
              <w:t>《行政处罚法》第五条第二款：设定和实施行政处罚必须以事实为依据，与违法行为的事实、性质、情节以及社会危害程度相当。</w:t>
            </w:r>
          </w:p>
        </w:tc>
        <w:tc>
          <w:tcPr>
            <w:tcW w:w="1689" w:type="dxa"/>
            <w:vAlign w:val="center"/>
          </w:tcPr>
          <w:p>
            <w:pPr>
              <w:spacing w:before="75" w:line="210" w:lineRule="auto"/>
              <w:ind w:left="114" w:right="48"/>
              <w:jc w:val="both"/>
              <w:rPr>
                <w:rFonts w:ascii="宋体" w:hAnsi="宋体" w:eastAsia="宋体" w:cs="宋体"/>
                <w:spacing w:val="25"/>
                <w:sz w:val="21"/>
                <w:szCs w:val="21"/>
              </w:rPr>
            </w:pPr>
            <w:r>
              <w:rPr>
                <w:rFonts w:ascii="宋体" w:hAnsi="宋体" w:eastAsia="宋体" w:cs="宋体"/>
                <w:spacing w:val="25"/>
                <w:sz w:val="21"/>
                <w:szCs w:val="21"/>
              </w:rPr>
              <w:t>罚款数额为2万元以下。</w:t>
            </w:r>
          </w:p>
        </w:tc>
        <w:tc>
          <w:tcPr>
            <w:tcW w:w="1009" w:type="dxa"/>
            <w:vAlign w:val="center"/>
          </w:tcPr>
          <w:p>
            <w:pPr>
              <w:spacing w:before="75" w:line="210" w:lineRule="auto"/>
              <w:ind w:left="114" w:right="48"/>
              <w:jc w:val="both"/>
              <w:rPr>
                <w:rFonts w:ascii="宋体" w:hAnsi="宋体" w:eastAsia="宋体" w:cs="宋体"/>
                <w:spacing w:val="25"/>
                <w:sz w:val="21"/>
                <w:szCs w:val="21"/>
              </w:rPr>
            </w:pPr>
            <w:r>
              <w:rPr>
                <w:rFonts w:ascii="宋体" w:hAnsi="宋体" w:eastAsia="宋体" w:cs="宋体"/>
                <w:spacing w:val="25"/>
                <w:sz w:val="21"/>
                <w:szCs w:val="21"/>
              </w:rPr>
              <w:t>批评教育、告诫约谈。</w:t>
            </w:r>
          </w:p>
        </w:tc>
        <w:tc>
          <w:tcPr>
            <w:tcW w:w="994" w:type="dxa"/>
            <w:vAlign w:val="center"/>
          </w:tcPr>
          <w:p>
            <w:pPr>
              <w:jc w:val="both"/>
              <w:rPr>
                <w:rFonts w:ascii="Arial"/>
                <w:sz w:val="21"/>
              </w:rPr>
            </w:pPr>
          </w:p>
        </w:tc>
      </w:tr>
    </w:tbl>
    <w:p>
      <w:pPr>
        <w:rPr>
          <w:rFonts w:ascii="Arial"/>
          <w:sz w:val="21"/>
        </w:rPr>
      </w:pPr>
    </w:p>
    <w:p>
      <w:pPr>
        <w:sectPr>
          <w:pgSz w:w="16840" w:h="11900"/>
          <w:pgMar w:top="1011" w:right="1065" w:bottom="400" w:left="621" w:header="0" w:footer="850" w:gutter="0"/>
          <w:pgNumType w:fmt="decimal"/>
          <w:cols w:space="720" w:num="1"/>
        </w:sectPr>
      </w:pPr>
    </w:p>
    <w:p>
      <w:r>
        <mc:AlternateContent>
          <mc:Choice Requires="wps">
            <w:drawing>
              <wp:anchor distT="0" distB="0" distL="114300" distR="114300" simplePos="0" relativeHeight="251661312" behindDoc="0" locked="0" layoutInCell="0" allowOverlap="1">
                <wp:simplePos x="0" y="0"/>
                <wp:positionH relativeFrom="page">
                  <wp:posOffset>365125</wp:posOffset>
                </wp:positionH>
                <wp:positionV relativeFrom="page">
                  <wp:posOffset>1422400</wp:posOffset>
                </wp:positionV>
                <wp:extent cx="184785" cy="24574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4785" cy="245745"/>
                        </a:xfrm>
                        <a:prstGeom prst="rect">
                          <a:avLst/>
                        </a:prstGeom>
                        <a:noFill/>
                        <a:ln>
                          <a:noFill/>
                        </a:ln>
                      </wps:spPr>
                      <wps:txbx>
                        <w:txbxContent>
                          <w:p>
                            <w:pPr>
                              <w:spacing w:before="20" w:line="180" w:lineRule="auto"/>
                              <w:rPr>
                                <w:rFonts w:ascii="宋体" w:hAnsi="宋体" w:eastAsia="宋体" w:cs="宋体"/>
                                <w:sz w:val="25"/>
                                <w:szCs w:val="25"/>
                              </w:rPr>
                            </w:pPr>
                          </w:p>
                        </w:txbxContent>
                      </wps:txbx>
                      <wps:bodyPr vert="eaVert" lIns="0" tIns="0" rIns="0" bIns="0" upright="1"/>
                    </wps:wsp>
                  </a:graphicData>
                </a:graphic>
              </wp:anchor>
            </w:drawing>
          </mc:Choice>
          <mc:Fallback>
            <w:pict>
              <v:shape id="_x0000_s1026" o:spid="_x0000_s1026" o:spt="202" type="#_x0000_t202" style="position:absolute;left:0pt;margin-left:28.75pt;margin-top:112pt;height:19.35pt;width:14.55pt;mso-position-horizontal-relative:page;mso-position-vertical-relative:page;z-index:251661312;mso-width-relative:page;mso-height-relative:page;" filled="f" stroked="f" coordsize="21600,21600" o:allowincell="f" o:gfxdata="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EYv2J1gAAAAkBAAAPAAAAAAAAAAEAIAAAACIAAABkcnMvZG93bnJldi54&#10;bWxQSwECFAAUAAAACACHTuJA7/4PpsMBAACBAwAADgAAAAAAAAABACAAAAAlAQAAZHJzL2Uyb0Rv&#10;Yy54bWxQSwUGAAAAAAYABgBZAQAAWgUAAAAA&#10;">
                <v:fill on="f" focussize="0,0"/>
                <v:stroke on="f"/>
                <v:imagedata o:title=""/>
                <o:lock v:ext="edit" aspectratio="f"/>
                <v:textbox inset="0mm,0mm,0mm,0mm" style="layout-flow:vertical-ideographic;">
                  <w:txbxContent>
                    <w:p>
                      <w:pPr>
                        <w:spacing w:before="20" w:line="180" w:lineRule="auto"/>
                        <w:rPr>
                          <w:rFonts w:ascii="宋体" w:hAnsi="宋体" w:eastAsia="宋体" w:cs="宋体"/>
                          <w:sz w:val="25"/>
                          <w:szCs w:val="25"/>
                        </w:rPr>
                      </w:pPr>
                    </w:p>
                  </w:txbxContent>
                </v:textbox>
              </v:shape>
            </w:pict>
          </mc:Fallback>
        </mc:AlternateContent>
      </w:r>
    </w:p>
    <w:p/>
    <w:p>
      <w:pPr>
        <w:spacing w:line="50" w:lineRule="exact"/>
      </w:pPr>
    </w:p>
    <w:tbl>
      <w:tblPr>
        <w:tblStyle w:val="8"/>
        <w:tblW w:w="14710" w:type="dxa"/>
        <w:tblInd w:w="3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5"/>
        <w:gridCol w:w="1569"/>
        <w:gridCol w:w="3907"/>
        <w:gridCol w:w="3058"/>
        <w:gridCol w:w="2089"/>
        <w:gridCol w:w="1699"/>
        <w:gridCol w:w="1009"/>
        <w:gridCol w:w="9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385" w:type="dxa"/>
            <w:textDirection w:val="tbRlV"/>
            <w:vAlign w:val="top"/>
          </w:tcPr>
          <w:p>
            <w:pPr>
              <w:spacing w:before="70" w:line="217" w:lineRule="auto"/>
              <w:ind w:left="72"/>
              <w:rPr>
                <w:rFonts w:hint="eastAsia" w:ascii="黑体" w:hAnsi="黑体" w:eastAsia="黑体" w:cs="黑体"/>
                <w:b w:val="0"/>
                <w:bCs w:val="0"/>
                <w:sz w:val="24"/>
                <w:szCs w:val="24"/>
              </w:rPr>
            </w:pPr>
            <w:r>
              <w:rPr>
                <w:rFonts w:hint="eastAsia" w:ascii="黑体" w:hAnsi="黑体" w:eastAsia="黑体" w:cs="黑体"/>
                <w:b w:val="0"/>
                <w:bCs w:val="0"/>
                <w:sz w:val="24"/>
                <w:szCs w:val="24"/>
              </w:rPr>
              <w:t>序号</w:t>
            </w:r>
          </w:p>
        </w:tc>
        <w:tc>
          <w:tcPr>
            <w:tcW w:w="1569" w:type="dxa"/>
            <w:vAlign w:val="top"/>
          </w:tcPr>
          <w:p>
            <w:pPr>
              <w:spacing w:before="212" w:line="220" w:lineRule="auto"/>
              <w:ind w:left="283"/>
              <w:rPr>
                <w:rFonts w:hint="eastAsia" w:ascii="黑体" w:hAnsi="黑体" w:eastAsia="黑体" w:cs="黑体"/>
                <w:b w:val="0"/>
                <w:bCs w:val="0"/>
                <w:sz w:val="24"/>
                <w:szCs w:val="24"/>
              </w:rPr>
            </w:pPr>
            <w:r>
              <w:rPr>
                <w:rFonts w:hint="eastAsia" w:ascii="黑体" w:hAnsi="黑体" w:eastAsia="黑体" w:cs="黑体"/>
                <w:b w:val="0"/>
                <w:bCs w:val="0"/>
                <w:spacing w:val="-5"/>
                <w:sz w:val="24"/>
                <w:szCs w:val="24"/>
              </w:rPr>
              <w:t>事项名称</w:t>
            </w:r>
          </w:p>
        </w:tc>
        <w:tc>
          <w:tcPr>
            <w:tcW w:w="3907" w:type="dxa"/>
            <w:vAlign w:val="top"/>
          </w:tcPr>
          <w:p>
            <w:pPr>
              <w:spacing w:before="210" w:line="219" w:lineRule="auto"/>
              <w:ind w:left="1484"/>
              <w:rPr>
                <w:rFonts w:hint="eastAsia" w:ascii="黑体" w:hAnsi="黑体" w:eastAsia="黑体" w:cs="黑体"/>
                <w:b w:val="0"/>
                <w:bCs w:val="0"/>
                <w:sz w:val="24"/>
                <w:szCs w:val="24"/>
              </w:rPr>
            </w:pPr>
            <w:r>
              <w:rPr>
                <w:rFonts w:hint="eastAsia" w:ascii="黑体" w:hAnsi="黑体" w:eastAsia="黑体" w:cs="黑体"/>
                <w:b w:val="0"/>
                <w:bCs w:val="0"/>
                <w:spacing w:val="-1"/>
                <w:sz w:val="24"/>
                <w:szCs w:val="24"/>
              </w:rPr>
              <w:t>设定依据</w:t>
            </w:r>
          </w:p>
        </w:tc>
        <w:tc>
          <w:tcPr>
            <w:tcW w:w="3058" w:type="dxa"/>
            <w:vAlign w:val="top"/>
          </w:tcPr>
          <w:p>
            <w:pPr>
              <w:spacing w:before="212" w:line="220" w:lineRule="auto"/>
              <w:ind w:left="1037"/>
              <w:rPr>
                <w:rFonts w:hint="eastAsia" w:ascii="黑体" w:hAnsi="黑体" w:eastAsia="黑体" w:cs="黑体"/>
                <w:b w:val="0"/>
                <w:bCs w:val="0"/>
                <w:sz w:val="24"/>
                <w:szCs w:val="24"/>
              </w:rPr>
            </w:pPr>
            <w:r>
              <w:rPr>
                <w:rFonts w:hint="eastAsia" w:ascii="黑体" w:hAnsi="黑体" w:eastAsia="黑体" w:cs="黑体"/>
                <w:b w:val="0"/>
                <w:bCs w:val="0"/>
                <w:spacing w:val="8"/>
                <w:sz w:val="24"/>
                <w:szCs w:val="24"/>
              </w:rPr>
              <w:t>适用情形</w:t>
            </w:r>
          </w:p>
        </w:tc>
        <w:tc>
          <w:tcPr>
            <w:tcW w:w="2089" w:type="dxa"/>
            <w:vAlign w:val="top"/>
          </w:tcPr>
          <w:p>
            <w:pPr>
              <w:spacing w:before="210" w:line="219" w:lineRule="auto"/>
              <w:ind w:left="349"/>
              <w:rPr>
                <w:rFonts w:hint="eastAsia" w:ascii="黑体" w:hAnsi="黑体" w:eastAsia="黑体" w:cs="黑体"/>
                <w:b w:val="0"/>
                <w:bCs w:val="0"/>
                <w:sz w:val="24"/>
                <w:szCs w:val="24"/>
              </w:rPr>
            </w:pPr>
            <w:r>
              <w:rPr>
                <w:rFonts w:hint="eastAsia" w:ascii="黑体" w:hAnsi="黑体" w:eastAsia="黑体" w:cs="黑体"/>
                <w:b w:val="0"/>
                <w:bCs w:val="0"/>
                <w:spacing w:val="-4"/>
                <w:sz w:val="24"/>
                <w:szCs w:val="24"/>
              </w:rPr>
              <w:t>减轻处罚依据</w:t>
            </w:r>
          </w:p>
        </w:tc>
        <w:tc>
          <w:tcPr>
            <w:tcW w:w="1699" w:type="dxa"/>
            <w:vAlign w:val="top"/>
          </w:tcPr>
          <w:p>
            <w:pPr>
              <w:spacing w:before="209" w:line="218" w:lineRule="auto"/>
              <w:ind w:left="350"/>
              <w:rPr>
                <w:rFonts w:hint="eastAsia" w:ascii="黑体" w:hAnsi="黑体" w:eastAsia="黑体" w:cs="黑体"/>
                <w:b w:val="0"/>
                <w:bCs w:val="0"/>
                <w:sz w:val="24"/>
                <w:szCs w:val="24"/>
              </w:rPr>
            </w:pPr>
            <w:r>
              <w:rPr>
                <w:rFonts w:hint="eastAsia" w:ascii="黑体" w:hAnsi="黑体" w:eastAsia="黑体" w:cs="黑体"/>
                <w:b w:val="0"/>
                <w:bCs w:val="0"/>
                <w:spacing w:val="-5"/>
                <w:sz w:val="24"/>
                <w:szCs w:val="24"/>
              </w:rPr>
              <w:t>裁量幅度</w:t>
            </w:r>
          </w:p>
        </w:tc>
        <w:tc>
          <w:tcPr>
            <w:tcW w:w="1009" w:type="dxa"/>
            <w:vAlign w:val="top"/>
          </w:tcPr>
          <w:p>
            <w:pPr>
              <w:spacing w:before="61" w:line="221" w:lineRule="auto"/>
              <w:ind w:left="141" w:right="146"/>
              <w:rPr>
                <w:rFonts w:hint="eastAsia" w:ascii="黑体" w:hAnsi="黑体" w:eastAsia="黑体" w:cs="黑体"/>
                <w:b w:val="0"/>
                <w:bCs w:val="0"/>
                <w:sz w:val="24"/>
                <w:szCs w:val="24"/>
              </w:rPr>
            </w:pPr>
            <w:r>
              <w:rPr>
                <w:rFonts w:hint="eastAsia" w:ascii="黑体" w:hAnsi="黑体" w:eastAsia="黑体" w:cs="黑体"/>
                <w:b w:val="0"/>
                <w:bCs w:val="0"/>
                <w:spacing w:val="-6"/>
                <w:sz w:val="24"/>
                <w:szCs w:val="24"/>
              </w:rPr>
              <w:t>配套监管措施</w:t>
            </w:r>
          </w:p>
        </w:tc>
        <w:tc>
          <w:tcPr>
            <w:tcW w:w="994" w:type="dxa"/>
            <w:vAlign w:val="top"/>
          </w:tcPr>
          <w:p>
            <w:pPr>
              <w:spacing w:before="212" w:line="221" w:lineRule="auto"/>
              <w:ind w:left="122"/>
              <w:rPr>
                <w:rFonts w:hint="eastAsia" w:ascii="黑体" w:hAnsi="黑体" w:eastAsia="黑体" w:cs="黑体"/>
                <w:b w:val="0"/>
                <w:bCs w:val="0"/>
                <w:sz w:val="24"/>
                <w:szCs w:val="24"/>
              </w:rPr>
            </w:pPr>
            <w:r>
              <w:rPr>
                <w:rFonts w:hint="eastAsia" w:ascii="黑体" w:hAnsi="黑体" w:eastAsia="黑体" w:cs="黑体"/>
                <w:b w:val="0"/>
                <w:bCs w:val="0"/>
                <w:spacing w:val="-6"/>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4" w:hRule="atLeast"/>
        </w:trPr>
        <w:tc>
          <w:tcPr>
            <w:tcW w:w="385" w:type="dxa"/>
            <w:tcBorders>
              <w:bottom w:val="nil"/>
            </w:tcBorders>
            <w:vAlign w:val="center"/>
          </w:tcPr>
          <w:p>
            <w:pPr>
              <w:spacing w:before="78" w:line="183" w:lineRule="auto"/>
              <w:ind w:left="125"/>
              <w:jc w:val="both"/>
              <w:rPr>
                <w:rFonts w:hint="eastAsia" w:ascii="宋体" w:hAnsi="宋体" w:eastAsia="宋体" w:cs="宋体"/>
                <w:sz w:val="21"/>
                <w:szCs w:val="21"/>
              </w:rPr>
            </w:pPr>
            <w:r>
              <w:rPr>
                <w:rFonts w:hint="eastAsia" w:ascii="宋体" w:hAnsi="宋体" w:eastAsia="宋体" w:cs="宋体"/>
                <w:sz w:val="21"/>
                <w:szCs w:val="21"/>
              </w:rPr>
              <w:t>8</w:t>
            </w:r>
          </w:p>
        </w:tc>
        <w:tc>
          <w:tcPr>
            <w:tcW w:w="1569" w:type="dxa"/>
            <w:tcBorders>
              <w:bottom w:val="nil"/>
            </w:tcBorders>
            <w:vAlign w:val="center"/>
          </w:tcPr>
          <w:p>
            <w:pPr>
              <w:spacing w:before="75" w:line="210" w:lineRule="auto"/>
              <w:ind w:left="114" w:right="48"/>
              <w:jc w:val="both"/>
              <w:rPr>
                <w:rFonts w:hint="eastAsia" w:ascii="宋体" w:hAnsi="宋体" w:eastAsia="宋体" w:cs="宋体"/>
                <w:spacing w:val="25"/>
                <w:sz w:val="21"/>
                <w:szCs w:val="21"/>
              </w:rPr>
            </w:pPr>
            <w:r>
              <w:rPr>
                <w:rFonts w:hint="eastAsia" w:ascii="宋体" w:hAnsi="宋体" w:eastAsia="宋体" w:cs="宋体"/>
                <w:spacing w:val="25"/>
                <w:sz w:val="21"/>
                <w:szCs w:val="21"/>
              </w:rPr>
              <w:t>市场主体未按照规定期限公示或者报送年度报告的行政处罚</w:t>
            </w:r>
          </w:p>
        </w:tc>
        <w:tc>
          <w:tcPr>
            <w:tcW w:w="3907" w:type="dxa"/>
            <w:tcBorders>
              <w:bottom w:val="nil"/>
            </w:tcBorders>
            <w:vAlign w:val="center"/>
          </w:tcPr>
          <w:p>
            <w:pPr>
              <w:spacing w:before="75" w:line="210" w:lineRule="auto"/>
              <w:ind w:left="114" w:right="48"/>
              <w:jc w:val="both"/>
              <w:rPr>
                <w:rFonts w:hint="eastAsia" w:ascii="宋体" w:hAnsi="宋体" w:eastAsia="宋体" w:cs="宋体"/>
                <w:spacing w:val="25"/>
                <w:sz w:val="21"/>
                <w:szCs w:val="21"/>
              </w:rPr>
            </w:pPr>
            <w:r>
              <w:rPr>
                <w:rFonts w:hint="eastAsia" w:ascii="宋体" w:hAnsi="宋体" w:eastAsia="宋体" w:cs="宋体"/>
                <w:spacing w:val="25"/>
                <w:sz w:val="21"/>
                <w:szCs w:val="21"/>
              </w:rPr>
              <w:t>《中华人民共和国市场主体登记管理条例实施细则》第七十条：市场主体未按照法律、行政法规规定的期限公示或者报送年度报告的，由登记机关列入经营异常名录，可以处1万元以下的罚款。</w:t>
            </w:r>
          </w:p>
        </w:tc>
        <w:tc>
          <w:tcPr>
            <w:tcW w:w="3058" w:type="dxa"/>
            <w:tcBorders>
              <w:bottom w:val="nil"/>
            </w:tcBorders>
            <w:vAlign w:val="center"/>
          </w:tcPr>
          <w:p>
            <w:pPr>
              <w:spacing w:before="75" w:line="210" w:lineRule="auto"/>
              <w:ind w:left="114" w:right="48"/>
              <w:jc w:val="both"/>
              <w:rPr>
                <w:rFonts w:hint="eastAsia" w:ascii="宋体" w:hAnsi="宋体" w:eastAsia="宋体" w:cs="宋体"/>
                <w:spacing w:val="25"/>
                <w:sz w:val="21"/>
                <w:szCs w:val="21"/>
              </w:rPr>
            </w:pPr>
            <w:r>
              <w:rPr>
                <w:rFonts w:hint="eastAsia" w:ascii="宋体" w:hAnsi="宋体" w:eastAsia="宋体" w:cs="宋体"/>
                <w:spacing w:val="25"/>
                <w:sz w:val="21"/>
                <w:szCs w:val="21"/>
              </w:rPr>
              <w:t>年报法定截止日期起30日以内补报年报，且存在以下情形之一：1.初次违法并主动改正；2.配合市场监管部门调查；3.行政处罚裁量基准明确的其他可以减轻处罚的情形。</w:t>
            </w:r>
          </w:p>
        </w:tc>
        <w:tc>
          <w:tcPr>
            <w:tcW w:w="2089" w:type="dxa"/>
            <w:tcBorders>
              <w:bottom w:val="nil"/>
            </w:tcBorders>
            <w:vAlign w:val="center"/>
          </w:tcPr>
          <w:p>
            <w:pPr>
              <w:spacing w:before="75" w:line="210" w:lineRule="auto"/>
              <w:ind w:left="114" w:right="48"/>
              <w:jc w:val="both"/>
              <w:rPr>
                <w:rFonts w:hint="eastAsia" w:ascii="宋体" w:hAnsi="宋体" w:eastAsia="宋体" w:cs="宋体"/>
                <w:spacing w:val="25"/>
                <w:sz w:val="21"/>
                <w:szCs w:val="21"/>
              </w:rPr>
            </w:pPr>
            <w:r>
              <w:rPr>
                <w:rFonts w:hint="eastAsia" w:ascii="宋体" w:hAnsi="宋体" w:eastAsia="宋体" w:cs="宋体"/>
                <w:spacing w:val="25"/>
                <w:sz w:val="21"/>
                <w:szCs w:val="21"/>
              </w:rPr>
              <w:t>《行政处罚法》第五条第二款：设定和实施行政处罚必须以事实为依据，与违法行为的事实、性质、情节以及社会危害程度相当。</w:t>
            </w:r>
          </w:p>
        </w:tc>
        <w:tc>
          <w:tcPr>
            <w:tcW w:w="1699" w:type="dxa"/>
            <w:tcBorders>
              <w:bottom w:val="nil"/>
            </w:tcBorders>
            <w:vAlign w:val="center"/>
          </w:tcPr>
          <w:p>
            <w:pPr>
              <w:spacing w:before="75" w:line="210" w:lineRule="auto"/>
              <w:ind w:left="114" w:right="48"/>
              <w:jc w:val="both"/>
              <w:rPr>
                <w:rFonts w:hint="eastAsia" w:ascii="宋体" w:hAnsi="宋体" w:eastAsia="宋体" w:cs="宋体"/>
                <w:spacing w:val="25"/>
                <w:sz w:val="21"/>
                <w:szCs w:val="21"/>
              </w:rPr>
            </w:pPr>
            <w:r>
              <w:rPr>
                <w:rFonts w:hint="eastAsia" w:ascii="宋体" w:hAnsi="宋体" w:eastAsia="宋体" w:cs="宋体"/>
                <w:spacing w:val="25"/>
                <w:sz w:val="21"/>
                <w:szCs w:val="21"/>
              </w:rPr>
              <w:t>不予罚款。</w:t>
            </w:r>
          </w:p>
        </w:tc>
        <w:tc>
          <w:tcPr>
            <w:tcW w:w="1009" w:type="dxa"/>
            <w:tcBorders>
              <w:bottom w:val="nil"/>
            </w:tcBorders>
            <w:vAlign w:val="center"/>
          </w:tcPr>
          <w:p>
            <w:pPr>
              <w:spacing w:before="75" w:line="210" w:lineRule="auto"/>
              <w:ind w:left="114" w:right="48"/>
              <w:jc w:val="both"/>
              <w:rPr>
                <w:rFonts w:hint="eastAsia" w:ascii="宋体" w:hAnsi="宋体" w:eastAsia="宋体" w:cs="宋体"/>
                <w:spacing w:val="25"/>
                <w:sz w:val="21"/>
                <w:szCs w:val="21"/>
              </w:rPr>
            </w:pPr>
            <w:r>
              <w:rPr>
                <w:rFonts w:hint="eastAsia" w:ascii="宋体" w:hAnsi="宋体" w:eastAsia="宋体" w:cs="宋体"/>
                <w:spacing w:val="25"/>
                <w:sz w:val="21"/>
                <w:szCs w:val="21"/>
              </w:rPr>
              <w:t>批评教育、告诫约谈。</w:t>
            </w:r>
          </w:p>
        </w:tc>
        <w:tc>
          <w:tcPr>
            <w:tcW w:w="994" w:type="dxa"/>
            <w:vAlign w:val="center"/>
          </w:tcPr>
          <w:p>
            <w:pPr>
              <w:spacing w:before="75" w:line="210" w:lineRule="auto"/>
              <w:ind w:left="114" w:right="48"/>
              <w:jc w:val="both"/>
              <w:rPr>
                <w:rFonts w:hint="eastAsia" w:ascii="宋体" w:hAnsi="宋体" w:eastAsia="宋体" w:cs="宋体"/>
                <w:spacing w:val="25"/>
                <w:sz w:val="21"/>
                <w:szCs w:val="21"/>
                <w:lang w:val="en-US" w:eastAsia="zh-CN"/>
              </w:rPr>
            </w:pPr>
            <w:r>
              <w:rPr>
                <w:rFonts w:hint="eastAsia" w:ascii="宋体" w:hAnsi="宋体" w:eastAsia="宋体" w:cs="宋体"/>
                <w:spacing w:val="25"/>
                <w:sz w:val="21"/>
                <w:szCs w:val="21"/>
              </w:rPr>
              <w:t>对企业因改制等原因，不再从事生产经营活动，仅</w:t>
            </w:r>
            <w:r>
              <w:rPr>
                <w:rFonts w:hint="eastAsia" w:ascii="宋体" w:hAnsi="宋体" w:eastAsia="宋体" w:cs="宋体"/>
                <w:spacing w:val="25"/>
                <w:sz w:val="21"/>
                <w:szCs w:val="21"/>
                <w:lang w:val="en-US" w:eastAsia="zh-CN"/>
              </w:rPr>
              <w:t>为缴纳职工养老金等原因，不办理注销清算及注销手续的，经查证属实，可不予罚款。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2" w:hRule="atLeast"/>
        </w:trPr>
        <w:tc>
          <w:tcPr>
            <w:tcW w:w="385" w:type="dxa"/>
            <w:vAlign w:val="center"/>
          </w:tcPr>
          <w:p>
            <w:pPr>
              <w:spacing w:before="78" w:line="183" w:lineRule="auto"/>
              <w:ind w:left="125"/>
              <w:jc w:val="both"/>
              <w:rPr>
                <w:rFonts w:hint="eastAsia" w:ascii="宋体" w:hAnsi="宋体" w:eastAsia="宋体" w:cs="宋体"/>
                <w:sz w:val="21"/>
                <w:szCs w:val="21"/>
              </w:rPr>
            </w:pPr>
            <w:r>
              <w:rPr>
                <w:rFonts w:hint="eastAsia" w:ascii="宋体" w:hAnsi="宋体" w:eastAsia="宋体" w:cs="宋体"/>
                <w:sz w:val="21"/>
                <w:szCs w:val="21"/>
              </w:rPr>
              <w:t>9</w:t>
            </w:r>
          </w:p>
        </w:tc>
        <w:tc>
          <w:tcPr>
            <w:tcW w:w="1569" w:type="dxa"/>
            <w:vAlign w:val="center"/>
          </w:tcPr>
          <w:p>
            <w:pPr>
              <w:spacing w:before="75" w:line="210" w:lineRule="auto"/>
              <w:ind w:left="114" w:right="48"/>
              <w:jc w:val="both"/>
              <w:rPr>
                <w:rFonts w:hint="eastAsia" w:ascii="宋体" w:hAnsi="宋体" w:eastAsia="宋体" w:cs="宋体"/>
                <w:spacing w:val="25"/>
                <w:sz w:val="21"/>
                <w:szCs w:val="21"/>
              </w:rPr>
            </w:pPr>
            <w:r>
              <w:rPr>
                <w:rFonts w:hint="eastAsia" w:ascii="宋体" w:hAnsi="宋体" w:eastAsia="宋体" w:cs="宋体"/>
                <w:spacing w:val="25"/>
                <w:sz w:val="21"/>
                <w:szCs w:val="21"/>
              </w:rPr>
              <w:t>取得生产许可的企业未能持续保持取得生产许可的规定条件的处罚</w:t>
            </w:r>
          </w:p>
        </w:tc>
        <w:tc>
          <w:tcPr>
            <w:tcW w:w="3907" w:type="dxa"/>
            <w:vAlign w:val="center"/>
          </w:tcPr>
          <w:p>
            <w:pPr>
              <w:spacing w:before="75" w:line="210" w:lineRule="auto"/>
              <w:ind w:left="114" w:right="48"/>
              <w:jc w:val="both"/>
              <w:rPr>
                <w:rFonts w:hint="eastAsia" w:ascii="宋体" w:hAnsi="宋体" w:eastAsia="宋体" w:cs="宋体"/>
                <w:spacing w:val="25"/>
                <w:sz w:val="21"/>
                <w:szCs w:val="21"/>
              </w:rPr>
            </w:pPr>
            <w:r>
              <w:rPr>
                <w:rFonts w:hint="eastAsia" w:ascii="宋体" w:hAnsi="宋体" w:eastAsia="宋体" w:cs="宋体"/>
                <w:spacing w:val="25"/>
                <w:sz w:val="21"/>
                <w:szCs w:val="21"/>
              </w:rPr>
              <w:t>《中华人民共和国工业产品生产许可证管理条例实施办法》第四十九条：违反本办法第四十六条规定，取得生产许可的企业未能持续保持取得生产许可的规定条件的，责令改正，处1万元以上3万元以下罚款。</w:t>
            </w:r>
          </w:p>
        </w:tc>
        <w:tc>
          <w:tcPr>
            <w:tcW w:w="3058" w:type="dxa"/>
            <w:vAlign w:val="center"/>
          </w:tcPr>
          <w:p>
            <w:pPr>
              <w:spacing w:before="75" w:line="210" w:lineRule="auto"/>
              <w:ind w:left="114" w:right="48"/>
              <w:jc w:val="both"/>
              <w:rPr>
                <w:rFonts w:hint="eastAsia" w:ascii="宋体" w:hAnsi="宋体" w:eastAsia="宋体" w:cs="宋体"/>
                <w:spacing w:val="25"/>
                <w:sz w:val="21"/>
                <w:szCs w:val="21"/>
              </w:rPr>
            </w:pPr>
            <w:r>
              <w:rPr>
                <w:rFonts w:hint="eastAsia" w:ascii="宋体" w:hAnsi="宋体" w:eastAsia="宋体" w:cs="宋体"/>
                <w:spacing w:val="25"/>
                <w:sz w:val="21"/>
                <w:szCs w:val="21"/>
              </w:rPr>
              <w:t>产品经检验合格，且存在以下情形之一：1.初次违法；2.主动改正；3.主动消除或者减轻违法行为危害后果的；4.配合市场监管部门调查；5.行政处罚裁量基准明确的其他可以减轻处罚的情形。</w:t>
            </w:r>
          </w:p>
        </w:tc>
        <w:tc>
          <w:tcPr>
            <w:tcW w:w="2089" w:type="dxa"/>
            <w:vAlign w:val="center"/>
          </w:tcPr>
          <w:p>
            <w:pPr>
              <w:spacing w:before="75" w:line="210" w:lineRule="auto"/>
              <w:ind w:left="114" w:right="48"/>
              <w:jc w:val="both"/>
              <w:rPr>
                <w:rFonts w:hint="eastAsia" w:ascii="宋体" w:hAnsi="宋体" w:eastAsia="宋体" w:cs="宋体"/>
                <w:spacing w:val="25"/>
                <w:sz w:val="21"/>
                <w:szCs w:val="21"/>
              </w:rPr>
            </w:pPr>
            <w:r>
              <w:rPr>
                <w:rFonts w:hint="eastAsia" w:ascii="宋体" w:hAnsi="宋体" w:eastAsia="宋体" w:cs="宋体"/>
                <w:spacing w:val="25"/>
                <w:sz w:val="21"/>
                <w:szCs w:val="21"/>
              </w:rPr>
              <w:t>《行政处罚法》第五条第二款：设定和实施行政处罚必须以事实为依据，与违法行为的事实、性质、情节以及社会危害程度相当。</w:t>
            </w:r>
          </w:p>
        </w:tc>
        <w:tc>
          <w:tcPr>
            <w:tcW w:w="1699" w:type="dxa"/>
            <w:vAlign w:val="center"/>
          </w:tcPr>
          <w:p>
            <w:pPr>
              <w:spacing w:before="75" w:line="210" w:lineRule="auto"/>
              <w:ind w:left="114" w:right="48"/>
              <w:jc w:val="both"/>
              <w:rPr>
                <w:rFonts w:hint="eastAsia" w:ascii="宋体" w:hAnsi="宋体" w:eastAsia="宋体" w:cs="宋体"/>
                <w:spacing w:val="25"/>
                <w:sz w:val="21"/>
                <w:szCs w:val="21"/>
              </w:rPr>
            </w:pPr>
            <w:r>
              <w:rPr>
                <w:rFonts w:hint="eastAsia" w:ascii="宋体" w:hAnsi="宋体" w:eastAsia="宋体" w:cs="宋体"/>
                <w:spacing w:val="25"/>
                <w:sz w:val="21"/>
                <w:szCs w:val="21"/>
              </w:rPr>
              <w:t>罚款数额为5000元以下。</w:t>
            </w:r>
          </w:p>
        </w:tc>
        <w:tc>
          <w:tcPr>
            <w:tcW w:w="1009" w:type="dxa"/>
            <w:vAlign w:val="center"/>
          </w:tcPr>
          <w:p>
            <w:pPr>
              <w:spacing w:before="75" w:line="210" w:lineRule="auto"/>
              <w:ind w:left="114" w:right="48"/>
              <w:jc w:val="both"/>
              <w:rPr>
                <w:rFonts w:hint="eastAsia" w:ascii="宋体" w:hAnsi="宋体" w:eastAsia="宋体" w:cs="宋体"/>
                <w:spacing w:val="25"/>
                <w:sz w:val="21"/>
                <w:szCs w:val="21"/>
              </w:rPr>
            </w:pPr>
            <w:r>
              <w:rPr>
                <w:rFonts w:hint="eastAsia" w:ascii="宋体" w:hAnsi="宋体" w:eastAsia="宋体" w:cs="宋体"/>
                <w:spacing w:val="25"/>
                <w:sz w:val="21"/>
                <w:szCs w:val="21"/>
              </w:rPr>
              <w:t>批评教育、告诫约谈。</w:t>
            </w:r>
          </w:p>
        </w:tc>
        <w:tc>
          <w:tcPr>
            <w:tcW w:w="994" w:type="dxa"/>
            <w:vAlign w:val="center"/>
          </w:tcPr>
          <w:p>
            <w:pPr>
              <w:spacing w:before="75" w:line="210" w:lineRule="auto"/>
              <w:ind w:left="114" w:right="48"/>
              <w:jc w:val="both"/>
              <w:rPr>
                <w:rFonts w:hint="eastAsia" w:ascii="宋体" w:hAnsi="宋体" w:eastAsia="宋体" w:cs="宋体"/>
                <w:spacing w:val="25"/>
                <w:sz w:val="21"/>
                <w:szCs w:val="21"/>
              </w:rPr>
            </w:pPr>
          </w:p>
        </w:tc>
      </w:tr>
    </w:tbl>
    <w:p>
      <w:pPr>
        <w:sectPr>
          <w:pgSz w:w="16840" w:h="11900"/>
          <w:pgMar w:top="1011" w:right="1104" w:bottom="400" w:left="674" w:header="0" w:footer="850" w:gutter="0"/>
          <w:pgNumType w:fmt="decimal"/>
          <w:cols w:space="720" w:num="1"/>
        </w:sectPr>
      </w:pPr>
    </w:p>
    <w:p>
      <w:pPr>
        <w:spacing w:before="85" w:line="226" w:lineRule="auto"/>
      </w:pPr>
    </w:p>
    <w:p/>
    <w:sectPr>
      <w:pgSz w:w="11906" w:h="16838"/>
      <w:pgMar w:top="2098" w:right="1474" w:bottom="1984" w:left="1587" w:header="851" w:footer="992" w:gutter="0"/>
      <w:pgNumType w:fmt="decimal"/>
      <w:cols w:space="0" w:num="1"/>
      <w:rtlGutter w:val="0"/>
      <w:docGrid w:type="linesAndChars" w:linePitch="57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zMzRlOGY3NTYyNzJhY2E1YWZjZjY5MzBiOTE4NDkifQ=="/>
  </w:docVars>
  <w:rsids>
    <w:rsidRoot w:val="4306005C"/>
    <w:rsid w:val="296F77E0"/>
    <w:rsid w:val="31584276"/>
    <w:rsid w:val="4306005C"/>
    <w:rsid w:val="59C363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3"/>
    <w:qFormat/>
    <w:uiPriority w:val="0"/>
    <w:pPr>
      <w:ind w:firstLine="720"/>
    </w:pPr>
  </w:style>
  <w:style w:type="paragraph" w:styleId="3">
    <w:name w:val="Body Text"/>
    <w:basedOn w:val="1"/>
    <w:next w:val="2"/>
    <w:qFormat/>
    <w:uiPriority w:val="1"/>
    <w:pPr>
      <w:widowControl w:val="0"/>
      <w:autoSpaceDE w:val="0"/>
      <w:autoSpaceDN w:val="0"/>
      <w:spacing w:before="0" w:after="0" w:line="240" w:lineRule="auto"/>
      <w:ind w:left="471" w:right="0"/>
      <w:jc w:val="left"/>
    </w:pPr>
    <w:rPr>
      <w:rFonts w:ascii="仿宋_GB2312" w:hAnsi="仿宋_GB2312" w:eastAsia="仿宋_GB2312" w:cs="仿宋_GB2312"/>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3316</Words>
  <Characters>3372</Characters>
  <Lines>0</Lines>
  <Paragraphs>0</Paragraphs>
  <TotalTime>24</TotalTime>
  <ScaleCrop>false</ScaleCrop>
  <LinksUpToDate>false</LinksUpToDate>
  <CharactersWithSpaces>3373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2023-01-09T00:48:00Z</dcterms:created>
  <dc:creator>鲸鱼的大眼睛</dc:creator>
  <cp:lastModifiedBy>小强</cp:lastModifiedBy>
  <cp:lastPrinted>2023-01-17T03:58:14Z</cp:lastPrinted>
  <dcterms:modified xsi:type="dcterms:W3CDTF">2023-01-17T04:03:06Z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226EFF170F3645D3821114E8E059CB46</vt:lpwstr>
  </property>
</Properties>
</file>