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eastAsia="方正小标宋_GBK" w:cs="方正小标宋_GBK" w:hint="eastAsia"/>
          <w:sz w:val="44"/>
          <w:szCs w:val="44"/>
          <w:lang w:val="en-US" w:eastAsia="zh-CN"/>
        </w:rPr>
      </w:pPr>
      <w:r>
        <w:rPr>
          <w:rFonts w:ascii="方正小标宋_GBK" w:eastAsia="方正小标宋_GBK" w:cs="方正小标宋_GBK" w:hint="eastAsia"/>
          <w:sz w:val="44"/>
          <w:szCs w:val="44"/>
          <w:lang w:val="en-US" w:eastAsia="zh-CN"/>
        </w:rPr>
        <w:t>《关于郑东新区范围内储备土地临时用地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eastAsia="方正小标宋_GBK" w:cs="方正小标宋_GBK" w:hint="eastAsia"/>
          <w:sz w:val="44"/>
          <w:szCs w:val="44"/>
          <w:lang w:val="en-US" w:eastAsia="zh-CN"/>
        </w:rPr>
      </w:pPr>
      <w:r>
        <w:rPr>
          <w:rFonts w:ascii="方正小标宋_GBK" w:eastAsia="方正小标宋_GBK" w:cs="方正小标宋_GBK" w:hint="eastAsia"/>
          <w:sz w:val="44"/>
          <w:szCs w:val="44"/>
          <w:lang w:val="en-US" w:eastAsia="zh-CN"/>
        </w:rPr>
        <w:t>管理工作的意见（暂行）》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eastAsia="方正小标宋_GBK" w:cs="方正小标宋_GBK" w:hint="eastAsia"/>
          <w:sz w:val="44"/>
          <w:szCs w:val="44"/>
          <w:lang w:val="en-US" w:eastAsia="zh-CN"/>
        </w:rPr>
      </w:pPr>
      <w:r>
        <w:rPr>
          <w:rFonts w:ascii="方正小标宋_GBK" w:eastAsia="方正小标宋_GBK" w:cs="方正小标宋_GBK" w:hint="eastAsia"/>
          <w:sz w:val="44"/>
          <w:szCs w:val="44"/>
          <w:lang w:val="en-US" w:eastAsia="zh-CN"/>
        </w:rPr>
        <w:t xml:space="preserve">（征求意见稿）起草说明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eastAsia="方正小标宋_GBK" w:cs="方正小标宋_GBK" w:hint="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Chars="200" w:firstLine="640"/>
        <w:jc w:val="both"/>
        <w:textAlignment w:val="auto"/>
        <w:rPr>
          <w:rFonts w:ascii="黑体" w:eastAsia="黑体" w:cs="黑体" w:hint="eastAsia"/>
          <w:b w:val="0"/>
          <w:bCs w:val="0"/>
          <w:sz w:val="32"/>
          <w:szCs w:val="32"/>
          <w:lang w:val="en-US" w:eastAsia="zh-CN"/>
        </w:rPr>
      </w:pPr>
      <w:r>
        <w:rPr>
          <w:rFonts w:ascii="黑体" w:eastAsia="黑体" w:cs="黑体" w:hint="eastAsia"/>
          <w:b w:val="0"/>
          <w:bCs w:val="0"/>
          <w:kern w:val="2"/>
          <w:sz w:val="32"/>
          <w:szCs w:val="32"/>
          <w:lang w:val="en-US" w:eastAsia="zh-CN" w:bidi="ar-SA"/>
        </w:rPr>
        <w:t>一、</w:t>
      </w:r>
      <w:r>
        <w:rPr>
          <w:rFonts w:ascii="黑体" w:eastAsia="黑体" w:cs="黑体" w:hint="eastAsia"/>
          <w:b w:val="0"/>
          <w:bCs w:val="0"/>
          <w:sz w:val="32"/>
          <w:szCs w:val="32"/>
          <w:lang w:val="en-US" w:eastAsia="zh-CN"/>
        </w:rPr>
        <w:t>制定背景及依据</w:t>
      </w:r>
    </w:p>
    <w:p>
      <w:pPr>
        <w:keepNext w:val="0"/>
        <w:keepLines w:val="0"/>
        <w:pageBreakBefore w:val="0"/>
        <w:widowControl w:val="0"/>
        <w:kinsoku/>
        <w:wordWrap/>
        <w:overflowPunct/>
        <w:topLinePunct w:val="0"/>
        <w:autoSpaceDE/>
        <w:autoSpaceDN/>
        <w:bidi w:val="0"/>
        <w:adjustRightInd/>
        <w:snapToGrid/>
        <w:spacing w:line="600" w:lineRule="exact"/>
        <w:ind w:left="0" w:right="0" w:firstLineChars="200" w:firstLine="640"/>
        <w:jc w:val="both"/>
        <w:textAlignment w:val="auto"/>
        <w:outlineLvl w:val="9"/>
        <w:rPr>
          <w:rFonts w:ascii="Times New Roman" w:eastAsia="仿宋_GB2312" w:cs="Times New Roman" w:hAnsi="Times New Roman"/>
          <w:sz w:val="32"/>
          <w:szCs w:val="32"/>
          <w:lang w:val="en-US" w:eastAsia="zh-CN"/>
        </w:rPr>
      </w:pPr>
      <w:r>
        <w:rPr>
          <w:rFonts w:ascii="仿宋_GB2312" w:cs="仿宋_GB2312" w:hint="eastAsia"/>
        </w:rPr>
        <w:t>为贯彻《中共郑州市委办公厅</w:t>
      </w:r>
      <w:r>
        <w:rPr>
          <w:rFonts w:ascii="仿宋_GB2312" w:cs="仿宋_GB2312" w:hint="eastAsia"/>
          <w:lang w:val="en-US" w:eastAsia="zh-CN"/>
        </w:rPr>
        <w:t xml:space="preserve"> </w:t>
      </w:r>
      <w:r>
        <w:rPr>
          <w:rFonts w:ascii="仿宋_GB2312" w:cs="仿宋_GB2312" w:hint="eastAsia"/>
        </w:rPr>
        <w:t>郑州市人民政府办公厅关于进一步深化土地储备制度改革加强储备土地综合开发的意见》（郑办〔2020〕17号）文件精神，加强储备土地的管护和临时利用管理，依法保护国有土地所有者权益，根据《土地储备管理办法》（国土资规〔2017〕17号）、《土地储备资金财务管理办法》（财综〔2018〕8号）、</w:t>
      </w:r>
      <w:bookmarkStart w:id="0" w:name="_GoBack"/>
      <w:r>
        <w:rPr>
          <w:rFonts w:ascii="仿宋_GB2312" w:cs="仿宋_GB2312" w:hint="eastAsia"/>
        </w:rPr>
        <w:t>《河南省土地储备</w:t>
      </w:r>
      <w:r>
        <w:rPr>
          <w:rFonts w:ascii="仿宋_GB2312" w:cs="仿宋_GB2312"/>
        </w:rPr>
        <w:t>管理</w:t>
      </w:r>
      <w:r>
        <w:rPr>
          <w:rFonts w:ascii="仿宋_GB2312" w:cs="仿宋_GB2312" w:hint="eastAsia"/>
        </w:rPr>
        <w:t>办法</w:t>
      </w:r>
      <w:r>
        <w:rPr>
          <w:rFonts w:ascii="仿宋_GB2312" w:cs="仿宋_GB2312"/>
        </w:rPr>
        <w:t>（试行）</w:t>
      </w:r>
      <w:r>
        <w:rPr>
          <w:rFonts w:ascii="仿宋_GB2312" w:cs="仿宋_GB2312" w:hint="eastAsia"/>
        </w:rPr>
        <w:t>》（豫</w:t>
      </w:r>
      <w:r>
        <w:rPr>
          <w:rFonts w:ascii="仿宋_GB2312" w:cs="仿宋_GB2312"/>
        </w:rPr>
        <w:t>自然</w:t>
      </w:r>
      <w:r>
        <w:rPr>
          <w:rFonts w:ascii="仿宋_GB2312" w:cs="仿宋_GB2312" w:hint="eastAsia"/>
        </w:rPr>
        <w:t>资发〔20</w:t>
      </w:r>
      <w:r>
        <w:rPr>
          <w:rFonts w:ascii="仿宋_GB2312" w:cs="仿宋_GB2312"/>
        </w:rPr>
        <w:t>23</w:t>
      </w:r>
      <w:r>
        <w:rPr>
          <w:rFonts w:ascii="仿宋_GB2312" w:cs="仿宋_GB2312" w:hint="eastAsia"/>
        </w:rPr>
        <w:t>〕</w:t>
      </w:r>
      <w:r>
        <w:rPr>
          <w:rFonts w:ascii="仿宋_GB2312" w:cs="仿宋_GB2312"/>
        </w:rPr>
        <w:t>56</w:t>
      </w:r>
      <w:r>
        <w:rPr>
          <w:rFonts w:ascii="仿宋_GB2312" w:cs="仿宋_GB2312" w:hint="eastAsia"/>
        </w:rPr>
        <w:t>号）</w:t>
      </w:r>
      <w:bookmarkEnd w:id="0"/>
      <w:r>
        <w:rPr>
          <w:rFonts w:ascii="仿宋_GB2312" w:cs="仿宋_GB2312" w:hint="eastAsia"/>
          <w:lang w:eastAsia="zh-CN"/>
        </w:rPr>
        <w:t>、《</w:t>
      </w:r>
      <w:r>
        <w:rPr>
          <w:rFonts w:ascii="仿宋_GB2312" w:cs="仿宋_GB2312" w:hint="eastAsia"/>
          <w:lang w:val="en-US" w:eastAsia="zh-CN"/>
        </w:rPr>
        <w:t>郑州市自然资源和规划局关于印发〈储备土地管护和临时利用暂行办法〉的通知》（郑自然资文〔2023〕440号）</w:t>
      </w:r>
      <w:r>
        <w:rPr>
          <w:rFonts w:ascii="仿宋_GB2312" w:cs="仿宋_GB2312" w:hint="eastAsia"/>
        </w:rPr>
        <w:t>等有关文件规定</w:t>
      </w:r>
      <w:r>
        <w:rPr>
          <w:rFonts w:ascii="仿宋_GB2312" w:cs="仿宋_GB2312" w:hint="eastAsia"/>
          <w:lang w:val="en-US" w:eastAsia="zh-CN"/>
        </w:rPr>
        <w:t>，结合郑东新区实际，</w:t>
      </w:r>
      <w:r>
        <w:rPr>
          <w:rFonts w:ascii="仿宋_GB2312" w:cs="仿宋_GB2312"/>
          <w:lang w:val="en-US" w:eastAsia="zh-CN"/>
        </w:rPr>
        <w:t>特制定本</w:t>
      </w:r>
      <w:r>
        <w:rPr>
          <w:rFonts w:ascii="仿宋_GB2312" w:cs="仿宋_GB2312" w:hint="eastAsia"/>
          <w:lang w:val="en-US" w:eastAsia="zh-CN"/>
        </w:rPr>
        <w:t>意见</w:t>
      </w:r>
      <w:r>
        <w:rPr>
          <w:rFonts w:ascii="仿宋_GB2312" w:cs="仿宋_GB231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both"/>
        <w:textAlignment w:val="auto"/>
        <w:rPr>
          <w:rFonts w:ascii="黑体" w:eastAsia="黑体" w:cs="黑体" w:hint="eastAsia"/>
          <w:sz w:val="32"/>
          <w:szCs w:val="32"/>
          <w:lang w:val="en-US" w:eastAsia="zh-CN"/>
        </w:rPr>
      </w:pPr>
      <w:r>
        <w:rPr>
          <w:rFonts w:ascii="黑体" w:eastAsia="黑体" w:cs="黑体" w:hint="eastAsia"/>
          <w:sz w:val="32"/>
          <w:szCs w:val="32"/>
          <w:lang w:val="en-US" w:eastAsia="zh-CN"/>
        </w:rPr>
        <w:t>二、出台目的</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both"/>
        <w:textAlignment w:val="auto"/>
        <w:rPr>
          <w:rFonts w:ascii="仿宋_GB2312" w:eastAsia="仿宋_GB2312" w:cs="仿宋_GB2312" w:hint="eastAsia"/>
          <w:lang w:val="en-US" w:eastAsia="zh-CN"/>
        </w:rPr>
      </w:pPr>
      <w:r>
        <w:rPr>
          <w:rFonts w:ascii="仿宋_GB2312" w:eastAsia="仿宋_GB2312" w:cs="仿宋_GB2312" w:hint="eastAsia"/>
          <w:lang w:val="en-US" w:eastAsia="zh-CN"/>
        </w:rPr>
        <w:t>为进一步规范和加强储备土地临时用地管理工作，深入推进“放管服”改革</w:t>
      </w:r>
      <w:r>
        <w:rPr>
          <w:rFonts w:ascii="仿宋_GB2312" w:cs="仿宋_GB2312" w:hint="eastAsia"/>
          <w:lang w:val="en-US" w:eastAsia="zh-CN"/>
        </w:rPr>
        <w:t>，</w:t>
      </w:r>
      <w:r>
        <w:rPr>
          <w:rFonts w:ascii="仿宋_GB2312" w:eastAsia="仿宋_GB2312" w:cs="仿宋_GB2312" w:hint="eastAsia"/>
          <w:lang w:val="en-US" w:eastAsia="zh-CN"/>
        </w:rPr>
        <w:t>优化营商环境，为重点项目建设提供要素保障，加快项目建设进度</w:t>
      </w:r>
      <w:r>
        <w:rPr>
          <w:rFonts w:ascii="仿宋_GB2312" w:cs="仿宋_GB2312" w:hint="eastAsia"/>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both"/>
        <w:textAlignment w:val="auto"/>
        <w:rPr>
          <w:rFonts w:ascii="黑体" w:eastAsia="黑体" w:cs="黑体" w:hint="eastAsia"/>
          <w:sz w:val="32"/>
          <w:szCs w:val="32"/>
          <w:lang w:val="en-US" w:eastAsia="zh-CN"/>
        </w:rPr>
      </w:pPr>
      <w:r>
        <w:rPr>
          <w:rFonts w:ascii="黑体" w:eastAsia="黑体" w:cs="黑体" w:hint="eastAsia"/>
          <w:sz w:val="32"/>
          <w:szCs w:val="32"/>
          <w:lang w:val="en-US" w:eastAsia="zh-CN"/>
        </w:rPr>
        <w:t>三、目标任务</w:t>
      </w:r>
    </w:p>
    <w:p>
      <w:pPr>
        <w:keepNext w:val="0"/>
        <w:keepLines w:val="0"/>
        <w:pageBreakBefore w:val="0"/>
        <w:widowControl w:val="0"/>
        <w:tabs>
          <w:tab w:val="left" w:pos="6930"/>
          <w:tab w:val="left" w:pos="7140"/>
          <w:tab w:val="left" w:pos="7560"/>
        </w:tabs>
        <w:kinsoku/>
        <w:wordWrap/>
        <w:overflowPunct/>
        <w:topLinePunct w:val="0"/>
        <w:autoSpaceDE/>
        <w:autoSpaceDN/>
        <w:bidi w:val="0"/>
        <w:adjustRightInd/>
        <w:snapToGrid/>
        <w:spacing w:line="600" w:lineRule="exact"/>
        <w:ind w:firstLine="641"/>
        <w:textAlignment w:val="auto"/>
        <w:rPr>
          <w:rFonts w:ascii="仿宋_GB2312" w:eastAsia="仿宋_GB2312" w:cs="仿宋_GB2312" w:hint="eastAsia"/>
          <w:sz w:val="32"/>
          <w:szCs w:val="32"/>
          <w:lang w:eastAsia="zh-CN"/>
        </w:rPr>
      </w:pPr>
      <w:r>
        <w:rPr>
          <w:rFonts w:ascii="仿宋_GB2312" w:eastAsia="仿宋_GB2312" w:cs="仿宋_GB2312" w:hint="eastAsia"/>
          <w:sz w:val="32"/>
          <w:szCs w:val="32"/>
          <w:lang w:val="en-US" w:eastAsia="zh-CN"/>
        </w:rPr>
        <w:t>加强和规范</w:t>
      </w:r>
      <w:r>
        <w:rPr>
          <w:rFonts w:ascii="仿宋_GB2312" w:cs="仿宋_GB2312" w:hint="eastAsia"/>
          <w:sz w:val="32"/>
          <w:szCs w:val="32"/>
          <w:lang w:val="en-US" w:eastAsia="zh-CN"/>
        </w:rPr>
        <w:t>郑东新区</w:t>
      </w:r>
      <w:r>
        <w:rPr>
          <w:rFonts w:ascii="仿宋_GB2312" w:eastAsia="仿宋_GB2312" w:cs="仿宋_GB2312" w:hint="eastAsia"/>
          <w:sz w:val="32"/>
          <w:szCs w:val="32"/>
          <w:lang w:val="en-US" w:eastAsia="zh-CN"/>
        </w:rPr>
        <w:t>储备土地</w:t>
      </w:r>
      <w:r>
        <w:rPr>
          <w:rFonts w:ascii="仿宋_GB2312" w:cs="仿宋_GB2312" w:hint="eastAsia"/>
          <w:sz w:val="32"/>
          <w:szCs w:val="32"/>
          <w:lang w:val="en-US" w:eastAsia="zh-CN"/>
        </w:rPr>
        <w:t>临时用地</w:t>
      </w:r>
      <w:r>
        <w:rPr>
          <w:rFonts w:ascii="仿宋_GB2312" w:eastAsia="仿宋_GB2312" w:cs="仿宋_GB2312" w:hint="eastAsia"/>
          <w:sz w:val="32"/>
          <w:szCs w:val="32"/>
          <w:lang w:val="en-US" w:eastAsia="zh-CN"/>
        </w:rPr>
        <w:t>管理工作</w:t>
      </w:r>
      <w:r>
        <w:rPr>
          <w:rFonts w:ascii="仿宋_GB2312" w:cs="仿宋_GB2312" w:hint="eastAsia"/>
          <w:sz w:val="32"/>
          <w:szCs w:val="32"/>
          <w:lang w:val="en-US" w:eastAsia="zh-CN"/>
        </w:rPr>
        <w:t>，</w:t>
      </w:r>
      <w:r>
        <w:rPr>
          <w:rFonts w:ascii="仿宋_GB2312" w:eastAsia="仿宋_GB2312" w:cs="仿宋_GB2312" w:hint="eastAsia"/>
          <w:sz w:val="32"/>
          <w:szCs w:val="32"/>
          <w:lang w:val="en-US" w:eastAsia="zh-CN"/>
        </w:rPr>
        <w:t>集约节约使用土地</w:t>
      </w:r>
      <w:r>
        <w:rPr>
          <w:rFonts w:ascii="仿宋_GB2312" w:cs="仿宋_GB2312"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both"/>
        <w:textAlignment w:val="auto"/>
        <w:rPr>
          <w:rFonts w:ascii="黑体" w:eastAsia="黑体" w:cs="黑体" w:hint="eastAsia"/>
          <w:sz w:val="32"/>
          <w:szCs w:val="32"/>
          <w:lang w:val="en-US" w:eastAsia="zh-CN"/>
        </w:rPr>
      </w:pPr>
      <w:r>
        <w:rPr>
          <w:rFonts w:ascii="黑体" w:eastAsia="黑体" w:cs="黑体" w:hint="eastAsia"/>
          <w:sz w:val="32"/>
          <w:szCs w:val="32"/>
          <w:lang w:val="en-US" w:eastAsia="zh-CN"/>
        </w:rPr>
        <w:t>四、主要内容</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both"/>
        <w:textAlignment w:val="auto"/>
        <w:rPr>
          <w:rFonts w:ascii="仿宋_GB2312" w:cs="仿宋_GB2312" w:hint="eastAsia"/>
          <w:kern w:val="2"/>
          <w:sz w:val="32"/>
          <w:szCs w:val="32"/>
          <w:lang w:val="en-US" w:eastAsia="zh-CN" w:bidi="ar-SA"/>
        </w:rPr>
      </w:pPr>
      <w:r>
        <w:rPr>
          <w:rFonts w:ascii="仿宋_GB2312" w:cs="仿宋_GB2312" w:hint="eastAsia"/>
          <w:kern w:val="2"/>
          <w:sz w:val="32"/>
          <w:szCs w:val="32"/>
          <w:lang w:val="en-US" w:eastAsia="zh-CN" w:bidi="ar-SA"/>
        </w:rPr>
        <w:t>该意见结合郑东新区项目建设实际，旨在进一步</w:t>
      </w:r>
      <w:r>
        <w:rPr>
          <w:rFonts w:ascii="仿宋_GB2312" w:eastAsia="仿宋_GB2312" w:cs="仿宋_GB2312" w:hint="eastAsia"/>
          <w:lang w:val="en-US" w:eastAsia="zh-CN"/>
        </w:rPr>
        <w:t>规范和加强储备土地临时用地管理工作，</w:t>
      </w:r>
      <w:r>
        <w:rPr>
          <w:rFonts w:ascii="仿宋_GB2312" w:eastAsia="仿宋_GB2312" w:cs="仿宋_GB2312" w:hint="eastAsia"/>
          <w:sz w:val="32"/>
          <w:szCs w:val="32"/>
          <w:lang w:val="en-US" w:eastAsia="zh-CN"/>
        </w:rPr>
        <w:t>加快优质营商环境建设</w:t>
      </w:r>
      <w:r>
        <w:rPr>
          <w:rFonts w:ascii="仿宋_GB2312" w:eastAsia="仿宋_GB2312" w:cs="仿宋_GB2312" w:hint="eastAsia"/>
          <w:lang w:val="en-US" w:eastAsia="zh-CN"/>
        </w:rPr>
        <w:t>，为重点项目建设提供要素保障</w:t>
      </w:r>
      <w:r>
        <w:rPr>
          <w:rFonts w:ascii="仿宋_GB2312" w:cs="仿宋_GB2312" w:hint="eastAsia"/>
          <w:lang w:val="en-US" w:eastAsia="zh-CN"/>
        </w:rPr>
        <w:t>。</w:t>
      </w:r>
      <w:r>
        <w:rPr>
          <w:rFonts w:ascii="仿宋_GB2312" w:cs="仿宋_GB2312" w:hint="eastAsia"/>
          <w:kern w:val="2"/>
          <w:sz w:val="32"/>
          <w:szCs w:val="32"/>
          <w:lang w:val="en-US" w:eastAsia="zh-CN" w:bidi="ar-SA"/>
        </w:rPr>
        <w:t>一是明确了</w:t>
      </w:r>
      <w:r>
        <w:rPr>
          <w:rFonts w:ascii="Times New Roman" w:eastAsia="仿宋_GB2312" w:cs="Times New Roman" w:hAnsi="Times New Roman" w:hint="eastAsia"/>
          <w:b w:val="0"/>
          <w:bCs/>
          <w:kern w:val="0"/>
          <w:sz w:val="32"/>
          <w:szCs w:val="44"/>
          <w:lang w:val="en-US" w:eastAsia="zh-CN"/>
        </w:rPr>
        <w:t>临时用地范围</w:t>
      </w:r>
      <w:r>
        <w:rPr>
          <w:rFonts w:cs="Times New Roman" w:hint="eastAsia"/>
          <w:b w:val="0"/>
          <w:bCs/>
          <w:kern w:val="0"/>
          <w:sz w:val="32"/>
          <w:szCs w:val="44"/>
          <w:lang w:val="en-US" w:eastAsia="zh-CN"/>
        </w:rPr>
        <w:t>、审批程序、</w:t>
      </w:r>
      <w:r>
        <w:rPr>
          <w:rFonts w:ascii="Times New Roman" w:eastAsia="仿宋_GB2312" w:cs="Times New Roman" w:hAnsi="Times New Roman" w:hint="eastAsia"/>
          <w:b w:val="0"/>
          <w:bCs/>
          <w:kern w:val="0"/>
          <w:sz w:val="32"/>
          <w:szCs w:val="44"/>
          <w:lang w:val="en-US" w:eastAsia="zh-CN"/>
        </w:rPr>
        <w:t>费用标准</w:t>
      </w:r>
      <w:r>
        <w:rPr>
          <w:rFonts w:cs="Times New Roman" w:hint="eastAsia"/>
          <w:b w:val="0"/>
          <w:bCs/>
          <w:kern w:val="0"/>
          <w:sz w:val="32"/>
          <w:szCs w:val="44"/>
          <w:lang w:val="en-US" w:eastAsia="zh-CN"/>
        </w:rPr>
        <w:t>、使用要求</w:t>
      </w:r>
      <w:r>
        <w:rPr>
          <w:rFonts w:ascii="仿宋_GB2312" w:cs="仿宋_GB2312"/>
          <w:kern w:val="2"/>
          <w:sz w:val="32"/>
          <w:szCs w:val="32"/>
          <w:lang w:val="en-US" w:eastAsia="zh-CN" w:bidi="ar-SA"/>
        </w:rPr>
        <w:t>；</w:t>
      </w:r>
      <w:r>
        <w:rPr>
          <w:rFonts w:ascii="仿宋_GB2312" w:cs="仿宋_GB2312" w:hint="eastAsia"/>
          <w:kern w:val="2"/>
          <w:sz w:val="32"/>
          <w:szCs w:val="32"/>
          <w:lang w:val="en-US" w:eastAsia="zh-CN" w:bidi="ar-SA"/>
        </w:rPr>
        <w:t>二是严格落实临时用地监管机制、</w:t>
      </w:r>
      <w:r>
        <w:rPr>
          <w:rFonts w:ascii="仿宋_GB2312" w:eastAsia="仿宋_GB2312" w:hint="eastAsia"/>
          <w:color w:val="auto"/>
          <w:sz w:val="32"/>
          <w:lang w:val="en-US" w:eastAsia="zh-CN"/>
        </w:rPr>
        <w:t>临时用地主体</w:t>
      </w:r>
      <w:r>
        <w:rPr>
          <w:rFonts w:ascii="仿宋_GB2312" w:hint="eastAsia"/>
          <w:color w:val="auto"/>
          <w:sz w:val="32"/>
          <w:lang w:val="en-US" w:eastAsia="zh-CN"/>
        </w:rPr>
        <w:t>相关责任等</w:t>
      </w:r>
      <w:r>
        <w:rPr>
          <w:rFonts w:ascii="仿宋_GB2312" w:cs="仿宋_GB2312" w:hint="eastAsia"/>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both"/>
        <w:textAlignment w:val="auto"/>
        <w:rPr>
          <w:rFonts w:ascii="黑体" w:eastAsia="黑体" w:cs="黑体" w:hint="eastAsia"/>
          <w:sz w:val="32"/>
          <w:szCs w:val="32"/>
          <w:lang w:val="en-US" w:eastAsia="zh-CN"/>
        </w:rPr>
      </w:pPr>
      <w:r>
        <w:rPr>
          <w:rFonts w:ascii="黑体" w:eastAsia="黑体" w:cs="黑体" w:hint="eastAsia"/>
          <w:sz w:val="32"/>
          <w:szCs w:val="32"/>
          <w:lang w:val="en-US" w:eastAsia="zh-CN"/>
        </w:rPr>
        <w:t>五、注意事项</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both"/>
        <w:textAlignment w:val="auto"/>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本着集约节约土地的原则，临时用地面积一般不超过</w:t>
      </w:r>
      <w:r>
        <w:rPr>
          <w:rFonts w:ascii="Times New Roman" w:eastAsia="仿宋_GB2312" w:cs="Times New Roman" w:hAnsi="Times New Roman" w:hint="eastAsia"/>
          <w:kern w:val="2"/>
          <w:sz w:val="32"/>
          <w:szCs w:val="32"/>
          <w:lang w:val="en-US" w:eastAsia="zh-CN" w:bidi="ar-SA"/>
        </w:rPr>
        <w:t>5</w:t>
      </w:r>
      <w:r>
        <w:rPr>
          <w:rFonts w:ascii="仿宋_GB2312" w:eastAsia="仿宋_GB2312" w:cs="仿宋_GB2312" w:hint="eastAsia"/>
          <w:sz w:val="32"/>
          <w:szCs w:val="32"/>
          <w:lang w:val="en-US" w:eastAsia="zh-CN"/>
        </w:rPr>
        <w:t>亩，以租赁方式实行有偿利用。</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both"/>
        <w:textAlignment w:val="auto"/>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租金收入全额上缴财政局，实行“收支两条线”管理。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仿宋_GB2312" w:cs="仿宋_GB2312" w:hint="eastAsia"/>
          <w:kern w:val="2"/>
          <w:sz w:val="32"/>
          <w:szCs w:val="32"/>
          <w:lang w:val="en-US" w:eastAsia="zh-CN" w:bidi="ar-SA"/>
        </w:rPr>
      </w:pPr>
    </w:p>
    <w:sectPr>
      <w:footerReference w:type="default" r:id="rId2"/>
      <w:pgSz w:w="11907" w:h="16840"/>
      <w:pgMar w:top="2098" w:right="1474" w:bottom="1985" w:left="1588" w:header="851" w:footer="992" w:gutter="0"/>
      <w:pgNumType/>
      <w:rtlGutter/>
      <w:docGrid w:type="lines" w:linePitch="439" w:charSpace="0"/>
    </w:sectPr>
  </w:body>
</w:document>
</file>

<file path=word/fontTable.xml><?xml version="1.0" encoding="utf-8"?>
<w:fonts xmlns:w="http://schemas.openxmlformats.org/wordprocessingml/2006/main" xmlns:r="http://schemas.openxmlformats.org/officeDocument/2006/relationships">
  <w:font w:name="方正小标宋_GBK">
    <w:altName w:val="Microsoft YaHei UI"/>
    <w:panose1 w:val="03000509000000000000"/>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仿宋_GB2312">
    <w:panose1 w:val="02010609030101010101"/>
    <w:charset w:val="86"/>
    <w:family w:val="auto"/>
    <w:pitch w:val="variable"/>
    <w:sig w:usb0="00000001" w:usb1="080E0000" w:usb2="00000000" w:usb3="00000000" w:csb0="00040000" w:csb1="00000000"/>
  </w:font>
  <w:font w:name="Times New Roman">
    <w:panose1 w:val="02020603050405020304"/>
    <w:charset w:val="01"/>
    <w:family w:val="auto"/>
    <w:pitch w:val="variable"/>
    <w:sig w:usb0="E0002EFF" w:usb1="C000785B" w:usb2="00000009" w:usb3="00000000" w:csb0="400001FF" w:csb1="FFFF0000"/>
  </w:font>
  <w:font w:name="宋体">
    <w:panose1 w:val="02010600030101010101"/>
    <w:charset w:val="50"/>
    <w:family w:val="auto"/>
    <w:pitch w:val="variable"/>
    <w:sig w:usb0="00000203" w:usb1="288F0000" w:usb2="00000006" w:usb3="00000000" w:csb0="00040001" w:csb1="00000000"/>
  </w:font>
  <w:font w:name="Cambria Math">
    <w:panose1 w:val="02040503050406030204"/>
    <w:charset w:val="00"/>
    <w:family w:val="roman"/>
    <w:pitch w:val="variable"/>
    <w:sig w:usb0="E00006FF" w:usb1="420024FF" w:usb2="02000000"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w:rPr>
        <w:sz w:val="18"/>
      </w:rPr>
      <mc:AlternateContent>
        <mc:Choice Requires="wps">
          <w:drawing>
            <wp:anchor distT="0" distB="0" distL="91438" distR="91438" simplePos="0" relativeHeight="12" behindDoc="0" locked="0" layoutInCell="1" hidden="0" allowOverlap="1">
              <wp:simplePos x="0" y="0"/>
              <wp:positionH relativeFrom="margin">
                <wp:align>outside</wp:align>
              </wp:positionH>
              <wp:positionV relativeFrom="paragraph">
                <wp:posOffset>0</wp:posOffset>
              </wp:positionV>
              <wp:extent cx="622299" cy="204647"/>
              <wp:effectExtent l="0" t="0" r="0" b="0"/>
              <wp:wrapNone/>
              <wp:docPr id="1" name="文本框 3"/>
              <wp:cNvGraphicFramePr>
                <a:graphicFrameLocks noChangeAspect="0"/>
              </wp:cNvGraphicFramePr>
              <a:graphic>
                <a:graphicData uri="http://schemas.microsoft.com/office/word/2010/wordprocessingShape">
                  <wps:wsp>
                    <wps:cNvSpPr/>
                    <wps:spPr>
                      <a:xfrm rot="0">
                        <a:off x="0" y="0"/>
                        <a:ext cx="622299" cy="204647"/>
                      </a:xfrm>
                      <a:prstGeom prst="rect"/>
                      <a:noFill/>
                      <a:ln w="6350" cmpd="sng" cap="flat">
                        <a:noFill/>
                        <a:prstDash val="solid"/>
                        <a:round/>
                      </a:ln>
                    </wps:spPr>
                    <wps:txbx id="2">
                      <w:txbxContent>
                        <w:p>
                          <w:pPr>
                            <w:pStyle w:val="16"/>
                            <w:tabs>
                              <w:tab w:val="center" w:pos="4153"/>
                              <w:tab w:val="right" w:pos="8306"/>
                            </w:tabs>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type="#_x0000_t202" id="文本框 3 3" o:spid="_x0000_s3" filled="f" stroked="f" strokeweight="0.5pt" style="position:absolute;margin-left:0.0pt;margin-top:0.0pt;width:48.999996pt;height:16.114006pt;z-index:12;mso-position-horizontal:outside;mso-position-horizontal-relative:margin;mso-position-vertical:absolute;mso-wrap-distance-left:7.19989pt;mso-wrap-distance-right:7.19989pt;mso-wrap-style:none;">
              <v:stroke color="#000000"/>
              <v:textbox id="848" inset="0mm,0mm,0mm,0mm" o:insetmode="custom" style="layout-flow:horizontal;v-text-anchor:top;mso-fit-shape-to-text:t;">
                <w:txbxContent>
                  <w:p>
                    <w:pPr>
                      <w:pStyle w:val="16"/>
                      <w:tabs>
                        <w:tab w:val="center" w:pos="4153"/>
                        <w:tab w:val="right" w:pos="8306"/>
                      </w:tabs>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DA216F0"/>
    <w:multiLevelType w:val="multilevel"/>
    <w:tmpl w:val="1DA216F0"/>
    <w:lvl w:ilvl="0">
      <w:start w:val="1"/>
      <w:numFmt w:val="chineseCountingThousand"/>
      <w:lvlRestart w:val="0"/>
      <w:pStyle w:val="19"/>
      <w:lvlText w:val="第%1章　"/>
      <w:lvlJc w:val="left"/>
      <w:pPr>
        <w:ind w:left="720" w:hanging="720"/>
      </w:pPr>
      <w:rPr>
        <w:rFonts w:cs="Times New Roman" w:hint="eastAsia"/>
        <w:sz w:val="32"/>
      </w:rPr>
    </w:lvl>
    <w:lvl w:ilvl="1">
      <w:start w:val="1"/>
      <w:numFmt w:val="lowerRoman"/>
      <w:lvlText w:val="(%2)"/>
      <w:lvlJc w:val="left"/>
      <w:pPr>
        <w:ind w:left="861" w:hanging="720"/>
      </w:pPr>
      <w:rPr>
        <w:rFonts w:cs="Times New Roman" w:hint="eastAsia"/>
      </w:rPr>
    </w:lvl>
    <w:lvl w:ilvl="2">
      <w:start w:val="1"/>
      <w:numFmt w:val="lowerLetter"/>
      <w:lvlText w:val="(%3)"/>
      <w:lvlJc w:val="left"/>
      <w:pPr>
        <w:ind w:left="1335" w:hanging="495"/>
      </w:pPr>
      <w:rPr>
        <w:rFonts w:cs="Times New Roman" w:hint="eastAsia"/>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efaultTabStop w:val="420"/>
  <w:drawingGridHorizontalSpacing w:val="160"/>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4"/>
  </w:compat>
  <w:docVars>
    <w:docVar w:name="commondata" w:val="eyJoZGlkIjoiNTMxOTgwMTliMTIyOWQ4ODI1OTE3MTQxMGQzY2FiOTE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autoRedefine/>
    <w:pPr>
      <w:widowControl w:val="0"/>
      <w:jc w:val="both"/>
    </w:pPr>
    <w:rPr>
      <w:rFonts w:ascii="Times New Roman" w:eastAsia="仿宋_GB2312" w:cs="仿宋_GB2312" w:hAnsi="Times New Roman"/>
      <w:kern w:val="2"/>
      <w:sz w:val="32"/>
      <w:szCs w:val="32"/>
      <w:lang w:val="en-US" w:eastAsia="zh-CN" w:bidi="ar-SA"/>
    </w:rPr>
  </w:style>
  <w:style w:type="paragraph" w:styleId="1">
    <w:name w:val="heading 1"/>
    <w:qFormat/>
    <w:basedOn w:val="0"/>
    <w:next w:val="0"/>
    <w:pPr>
      <w:keepNext/>
      <w:keepLines/>
      <w:spacing w:before="340" w:after="330" w:line="578" w:lineRule="auto"/>
      <w:outlineLvl w:val="0"/>
    </w:pPr>
    <w:rPr>
      <w:b/>
      <w:bCs/>
      <w:kern w:val="44"/>
      <w:sz w:val="44"/>
    </w:rPr>
  </w:style>
  <w:style w:type="paragraph" w:styleId="2">
    <w:name w:val="heading 2"/>
    <w:qFormat/>
    <w:basedOn w:val="0"/>
    <w:next w:val="0"/>
    <w:pPr>
      <w:keepNext/>
      <w:keepLines/>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spacing w:before="260" w:after="260" w:line="415" w:lineRule="auto"/>
      <w:outlineLvl w:val="2"/>
    </w:pPr>
    <w:rPr>
      <w:b/>
      <w:sz w:val="32"/>
    </w:rPr>
  </w:style>
  <w:style w:type="character" w:default="1" w:styleId="10">
    <w:name w:val="Default Paragraph Font"/>
    <w:qFormat/>
    <w:autoRedefine/>
  </w:style>
  <w:style w:type="paragraph" w:styleId="15">
    <w:name w:val="Body Text"/>
    <w:qFormat/>
    <w:basedOn w:val="0"/>
    <w:autoRedefine/>
    <w:next w:val="0"/>
    <w:pPr>
      <w:spacing w:after="120"/>
    </w:pPr>
    <w:rPr>
      <w:rFonts w:eastAsia="Cambria Math" w:cs="Times New Roman"/>
      <w:kern w:val="0"/>
      <w:sz w:val="20"/>
    </w:rPr>
  </w:style>
  <w:style w:type="paragraph" w:styleId="16">
    <w:name w:val="footer"/>
    <w:qFormat/>
    <w:basedOn w:val="0"/>
    <w:autoRedefine/>
    <w:pPr>
      <w:tabs>
        <w:tab w:val="center" w:pos="4153"/>
        <w:tab w:val="right" w:pos="8306"/>
      </w:tabs>
      <w:snapToGrid w:val="0"/>
      <w:jc w:val="left"/>
    </w:pPr>
    <w:rPr>
      <w:sz w:val="18"/>
    </w:rPr>
  </w:style>
  <w:style w:type="paragraph" w:styleId="17">
    <w:name w:val="header"/>
    <w:qFormat/>
    <w:basedOn w:val="0"/>
    <w:autoRedefine/>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styleId="18">
    <w:name w:val="toc 2"/>
    <w:qFormat/>
    <w:basedOn w:val="0"/>
    <w:autoRedefine/>
    <w:next w:val="0"/>
    <w:pPr>
      <w:ind w:leftChars="200" w:left="200"/>
    </w:pPr>
  </w:style>
  <w:style w:type="paragraph" w:styleId="19">
    <w:name w:val="Body Text 2"/>
    <w:qFormat/>
    <w:basedOn w:val="0"/>
    <w:autoRedefine/>
    <w:next w:val="15"/>
    <w:pPr>
      <w:widowControl/>
      <w:numPr>
        <w:ilvl w:val="0"/>
        <w:numId w:val="1"/>
      </w:numPr>
      <w:tabs>
        <w:tab w:val="clear" w:pos="1440"/>
      </w:tabs>
      <w:spacing w:beforeLines="50" w:before="50" w:line="336" w:lineRule="auto"/>
      <w:ind w:left="0" w:firstLine="0"/>
    </w:pPr>
    <w:rPr>
      <w:rFonts w:eastAsia="黑体"/>
      <w:szCs w:val="20"/>
      <w:lang w:val="en-GB"/>
    </w:rPr>
  </w:style>
  <w:style w:type="paragraph" w:styleId="20">
    <w:name w:val="Normal (Web)"/>
    <w:qFormat/>
    <w:basedOn w:val="0"/>
    <w:autoRedefine/>
    <w:pPr>
      <w:spacing w:before="100" w:beforeAutospacing="1" w:after="100" w:afterAutospacing="1"/>
      <w:ind w:left="0" w:right="0"/>
      <w:jc w:val="left"/>
    </w:pPr>
    <w:rPr>
      <w:kern w:val="0"/>
      <w:sz w:val="24"/>
      <w:lang w:val="en-US" w:eastAsia="zh-CN"/>
    </w:rPr>
  </w:style>
  <w:style w:type="character" w:styleId="21">
    <w:name w:val="Emphasis"/>
    <w:qFormat/>
    <w:basedOn w:val="10"/>
    <w:autoRedefine/>
    <w:rPr>
      <w:i/>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285</TotalTime>
  <Application>Yozo_Office27021597764231180</Application>
  <Pages>2</Pages>
  <Words>0</Words>
  <Characters>476</Characters>
  <Lines>0</Lines>
  <Paragraphs>16</Paragraphs>
  <CharactersWithSpaces>635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dc:creator>
  <cp:lastModifiedBy>DELL</cp:lastModifiedBy>
  <cp:revision>1</cp:revision>
  <cp:lastPrinted>2024-04-17T08:57:00Z</cp:lastPrinted>
  <dcterms:created xsi:type="dcterms:W3CDTF">2023-11-08T01:40:00Z</dcterms:created>
  <dcterms:modified xsi:type="dcterms:W3CDTF">2024-04-18T01:58:00Z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2052-12.1.0.16729</vt:lpwstr>
  </property>
  <property fmtid="{D5CDD505-2E9C-101B-9397-08002B2CF9AE}" pid="3" name="ICV">
    <vt:lpwstr>05ED5ED60E604BEFB3F39A9E0A510FDA_13</vt:lpwstr>
  </property>
</Properties>
</file>