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8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中原科技城基金大厦管理办法</w:t>
      </w:r>
    </w:p>
    <w:p>
      <w:pPr>
        <w:keepNext w:val="0"/>
        <w:keepLines w:val="0"/>
        <w:pageBreakBefore w:val="0"/>
        <w:widowControl w:val="0"/>
        <w:tabs>
          <w:tab w:val="left" w:pos="48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为深入贯彻落实省、市关于中原龙子湖智慧岛建设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的相关要求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和天使风投创投基金高质量发展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决策部署，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构建基金全要素生态，打造中原科技城基金大厦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>,根据《智慧岛全要素基金生态建设指引》（豫发改财金〔2022〕491号）、《关于郑州市促进创业投资发展的实施意见》（郑政办〔2022〕65号）等文件要求，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结合郑东新区实际情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况，特制定中原科技城基金大厦管理办法。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政策措施制定必要性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郑东新区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私募基金行业发展现状，为实现各类基金机构快速集聚，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营造具有良好政策竞争力和生态吸引力的基金业发展环境，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大力引入优秀基金机构、中介机构落地，构建基金全要素生态，抢占基金业发展制高点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加快推进中原科技城基金大厦建设，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有必要配套制定中原科技城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基金大厦管理办法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郑东新区金融服务局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调研、专题研讨，结合郑东新区实际，在广泛征求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中原科技城综合服务中心、中原科技城人才工作局、财政局（审计局）、经济发展局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等相关部门意见后，针对各有关单位的书面回复意见，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郑东新区金融服务局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又反复对文稿进行了完善修改，最终提交管委会常务会上会审议研究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拟定了《中原科技城基金大厦管理办法》。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该办法共有7个章节，14条规定，明确了管理机构职责、入驻对象、优惠政策、机构入驻或退出审批程序、绩效考核。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（一）第一章总则，明确了制定《中原科技城基金大厦管理办法》的依据、定位。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（二）第二章管理机构及职能，明确了基金大厦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相关单位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和市场化运营机构的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具体职能分工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（三）第三章入驻对象标准，明确了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投资机构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、中介机构、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等企业的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入驻条件。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（四）第四章基金大厦优惠政策，明确投资机构在办公用房免租、办公用房补贴、招商奖励、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基金招商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投资激励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人才激励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等方面的政策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（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）第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章机构入驻或退出审批程序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，明确了企业入驻或退出基金大厦的办理流程。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（七）第六章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绩效考核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，明确对基金大厦的日常管理、运营考核。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（八）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七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章附则，明确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管理办法的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解释单位、施行日期及有效期限等事项。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本办法旨在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规范中原科技城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基金大厦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的使用、服务、管理等，明确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基金大厦各涉及部门的职责，通过配套一系列优惠政策，鼓励和吸引投资机构入驻基金大厦，推动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郑东新区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基金业集聚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发展。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E640D"/>
    <w:multiLevelType w:val="singleLevel"/>
    <w:tmpl w:val="216E64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NDNhNzliZTZhNWM2NzQwNWQxMzg5YzNmOTU2MjIifQ=="/>
  </w:docVars>
  <w:rsids>
    <w:rsidRoot w:val="54476C4E"/>
    <w:rsid w:val="1EA43CF5"/>
    <w:rsid w:val="1F1D2899"/>
    <w:rsid w:val="305A5624"/>
    <w:rsid w:val="3693634A"/>
    <w:rsid w:val="41EE4ADF"/>
    <w:rsid w:val="4E346AB0"/>
    <w:rsid w:val="54476C4E"/>
    <w:rsid w:val="56435F1C"/>
    <w:rsid w:val="56A25CD5"/>
    <w:rsid w:val="56AE2637"/>
    <w:rsid w:val="71A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926</Characters>
  <Lines>0</Lines>
  <Paragraphs>0</Paragraphs>
  <TotalTime>15</TotalTime>
  <ScaleCrop>false</ScaleCrop>
  <LinksUpToDate>false</LinksUpToDate>
  <CharactersWithSpaces>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2023-06-28T02:43:00Z</dcterms:created>
  <dc:creator>。。。</dc:creator>
  <cp:lastModifiedBy>WPS_1676604973</cp:lastModifiedBy>
  <dcterms:modified xsi:type="dcterms:W3CDTF">2023-07-24T02:04:26Z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C54872AA13F24D19841D2364883B75BC_13</vt:lpwstr>
  </property>
</Properties>
</file>